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EDE" w:rsidRDefault="00FA5EDE" w:rsidP="00FC449A">
      <w:pPr>
        <w:jc w:val="center"/>
        <w:rPr>
          <w:rFonts w:eastAsia="Times New Roman" w:cstheme="minorHAnsi"/>
          <w:sz w:val="24"/>
          <w:szCs w:val="32"/>
          <w:lang w:val="en-GB" w:eastAsia="hr-HR"/>
        </w:rPr>
      </w:pPr>
    </w:p>
    <w:p w:rsidR="00FC449A" w:rsidRPr="00FA5EDE" w:rsidRDefault="00FC449A" w:rsidP="00FC449A">
      <w:pPr>
        <w:jc w:val="center"/>
        <w:rPr>
          <w:sz w:val="20"/>
        </w:rPr>
      </w:pPr>
      <w:r w:rsidRPr="00FA5EDE">
        <w:rPr>
          <w:rFonts w:eastAsia="Times New Roman" w:cstheme="minorHAnsi"/>
          <w:sz w:val="28"/>
          <w:szCs w:val="32"/>
          <w:lang w:val="en-GB" w:eastAsia="hr-HR"/>
        </w:rPr>
        <w:t>Project “Support for further improvement of Public Procurement system in Serbia”</w:t>
      </w:r>
    </w:p>
    <w:p w:rsidR="00FA5EDE" w:rsidRDefault="00FA5EDE" w:rsidP="00FC449A">
      <w:pPr>
        <w:spacing w:before="240" w:after="240" w:line="257" w:lineRule="auto"/>
        <w:jc w:val="center"/>
        <w:rPr>
          <w:rFonts w:eastAsia="Times New Roman" w:cstheme="minorHAnsi"/>
          <w:b/>
          <w:sz w:val="32"/>
          <w:szCs w:val="24"/>
          <w:lang w:val="en-GB" w:eastAsia="hr-HR"/>
        </w:rPr>
      </w:pPr>
    </w:p>
    <w:p w:rsidR="00FA5EDE" w:rsidRPr="00964F64" w:rsidRDefault="00FA5EDE" w:rsidP="00FC449A">
      <w:pPr>
        <w:spacing w:before="240" w:after="240" w:line="257" w:lineRule="auto"/>
        <w:jc w:val="center"/>
        <w:rPr>
          <w:rFonts w:eastAsia="Times New Roman" w:cstheme="minorHAnsi"/>
          <w:b/>
          <w:sz w:val="36"/>
          <w:szCs w:val="24"/>
          <w:lang w:val="sr-Latn-RS" w:eastAsia="hr-HR"/>
        </w:rPr>
      </w:pPr>
    </w:p>
    <w:p w:rsidR="00FC449A" w:rsidRPr="00FA5EDE" w:rsidRDefault="00FC449A" w:rsidP="00FC449A">
      <w:pPr>
        <w:spacing w:before="240" w:after="240" w:line="257" w:lineRule="auto"/>
        <w:jc w:val="center"/>
        <w:rPr>
          <w:rFonts w:eastAsia="Times New Roman" w:cstheme="minorHAnsi"/>
          <w:b/>
          <w:sz w:val="36"/>
          <w:szCs w:val="24"/>
          <w:lang w:val="en-GB" w:eastAsia="hr-HR"/>
        </w:rPr>
      </w:pPr>
      <w:r w:rsidRPr="00FA5EDE">
        <w:rPr>
          <w:rFonts w:eastAsia="Times New Roman" w:cstheme="minorHAnsi"/>
          <w:b/>
          <w:sz w:val="36"/>
          <w:szCs w:val="24"/>
          <w:lang w:val="en-GB" w:eastAsia="hr-HR"/>
        </w:rPr>
        <w:t>Workshop:</w:t>
      </w:r>
    </w:p>
    <w:p w:rsidR="00FC449A" w:rsidRPr="00FA5EDE" w:rsidRDefault="00A92E3F" w:rsidP="00FC449A">
      <w:pPr>
        <w:spacing w:before="240" w:after="240" w:line="257" w:lineRule="auto"/>
        <w:jc w:val="center"/>
        <w:rPr>
          <w:rFonts w:cstheme="minorHAnsi"/>
          <w:b/>
          <w:bCs/>
          <w:color w:val="000000" w:themeColor="text1"/>
          <w:sz w:val="36"/>
          <w:szCs w:val="36"/>
          <w:lang w:val="en-GB"/>
        </w:rPr>
      </w:pPr>
      <w:r>
        <w:rPr>
          <w:rFonts w:cstheme="minorHAnsi"/>
          <w:b/>
          <w:bCs/>
          <w:color w:val="000000" w:themeColor="text1"/>
          <w:sz w:val="36"/>
          <w:szCs w:val="36"/>
          <w:lang w:val="en-GB"/>
        </w:rPr>
        <w:t xml:space="preserve">Drafts of implementing regulations </w:t>
      </w:r>
      <w:r w:rsidR="00FC449A" w:rsidRPr="00FA5EDE">
        <w:rPr>
          <w:rFonts w:cstheme="minorHAnsi"/>
          <w:b/>
          <w:bCs/>
          <w:color w:val="000000" w:themeColor="text1"/>
          <w:sz w:val="36"/>
          <w:szCs w:val="36"/>
          <w:lang w:val="en-GB"/>
        </w:rPr>
        <w:t>according to the draft new P</w:t>
      </w:r>
      <w:r w:rsidR="00834175">
        <w:rPr>
          <w:rFonts w:cstheme="minorHAnsi"/>
          <w:b/>
          <w:bCs/>
          <w:color w:val="000000" w:themeColor="text1"/>
          <w:sz w:val="36"/>
          <w:szCs w:val="36"/>
          <w:lang w:val="en-GB"/>
        </w:rPr>
        <w:t>ublic Procurement Law</w:t>
      </w:r>
    </w:p>
    <w:p w:rsidR="00FC449A" w:rsidRPr="00FA5EDE" w:rsidRDefault="00740194" w:rsidP="00FC449A">
      <w:pPr>
        <w:spacing w:before="240" w:after="240" w:line="256" w:lineRule="auto"/>
        <w:jc w:val="center"/>
        <w:rPr>
          <w:rFonts w:eastAsia="Times New Roman" w:cstheme="minorHAnsi"/>
          <w:sz w:val="36"/>
          <w:szCs w:val="36"/>
          <w:lang w:val="en-GB" w:eastAsia="hr-HR"/>
        </w:rPr>
      </w:pPr>
      <w:r>
        <w:rPr>
          <w:rFonts w:eastAsia="Times New Roman" w:cstheme="minorHAnsi"/>
          <w:sz w:val="36"/>
          <w:szCs w:val="36"/>
          <w:lang w:val="en-GB" w:eastAsia="hr-HR"/>
        </w:rPr>
        <w:t xml:space="preserve">Hotel Museum, </w:t>
      </w:r>
      <w:proofErr w:type="spellStart"/>
      <w:r>
        <w:rPr>
          <w:rFonts w:eastAsia="Times New Roman" w:cstheme="minorHAnsi"/>
          <w:sz w:val="36"/>
          <w:szCs w:val="36"/>
          <w:lang w:val="en-GB" w:eastAsia="hr-HR"/>
        </w:rPr>
        <w:t>Čika</w:t>
      </w:r>
      <w:proofErr w:type="spellEnd"/>
      <w:r>
        <w:rPr>
          <w:rFonts w:eastAsia="Times New Roman" w:cstheme="minorHAnsi"/>
          <w:sz w:val="36"/>
          <w:szCs w:val="36"/>
          <w:lang w:val="en-GB" w:eastAsia="hr-HR"/>
        </w:rPr>
        <w:t xml:space="preserve"> </w:t>
      </w:r>
      <w:proofErr w:type="spellStart"/>
      <w:r>
        <w:rPr>
          <w:rFonts w:eastAsia="Times New Roman" w:cstheme="minorHAnsi"/>
          <w:sz w:val="36"/>
          <w:szCs w:val="36"/>
          <w:lang w:val="en-GB" w:eastAsia="hr-HR"/>
        </w:rPr>
        <w:t>Ljubina</w:t>
      </w:r>
      <w:proofErr w:type="spellEnd"/>
      <w:r>
        <w:rPr>
          <w:rFonts w:eastAsia="Times New Roman" w:cstheme="minorHAnsi"/>
          <w:sz w:val="36"/>
          <w:szCs w:val="36"/>
          <w:lang w:val="en-GB" w:eastAsia="hr-HR"/>
        </w:rPr>
        <w:t xml:space="preserve"> 3- 5</w:t>
      </w:r>
      <w:r w:rsidR="00CC0395">
        <w:rPr>
          <w:rFonts w:eastAsia="Times New Roman" w:cstheme="minorHAnsi"/>
          <w:sz w:val="36"/>
          <w:szCs w:val="36"/>
          <w:lang w:val="en-GB" w:eastAsia="hr-HR"/>
        </w:rPr>
        <w:t>, Belgrade</w:t>
      </w:r>
      <w:bookmarkStart w:id="0" w:name="_GoBack"/>
      <w:bookmarkEnd w:id="0"/>
    </w:p>
    <w:p w:rsidR="00FC449A" w:rsidRPr="00FA5EDE" w:rsidRDefault="00A92E3F" w:rsidP="00FC449A">
      <w:pPr>
        <w:spacing w:before="240" w:after="240" w:line="256" w:lineRule="auto"/>
        <w:jc w:val="center"/>
        <w:rPr>
          <w:rFonts w:eastAsia="Times New Roman" w:cstheme="minorHAnsi"/>
          <w:sz w:val="36"/>
          <w:szCs w:val="36"/>
          <w:lang w:val="en-GB" w:eastAsia="hr-HR"/>
        </w:rPr>
      </w:pPr>
      <w:r>
        <w:rPr>
          <w:rFonts w:eastAsia="Times New Roman" w:cstheme="minorHAnsi"/>
          <w:sz w:val="36"/>
          <w:szCs w:val="36"/>
          <w:lang w:val="en-GB" w:eastAsia="hr-HR"/>
        </w:rPr>
        <w:t>07 February</w:t>
      </w:r>
      <w:r w:rsidR="00F11ED1" w:rsidRPr="00FA5EDE">
        <w:rPr>
          <w:rFonts w:eastAsia="Times New Roman" w:cstheme="minorHAnsi"/>
          <w:sz w:val="36"/>
          <w:szCs w:val="36"/>
          <w:lang w:val="en-GB" w:eastAsia="hr-HR"/>
        </w:rPr>
        <w:t xml:space="preserve"> </w:t>
      </w:r>
      <w:r w:rsidR="00FC449A" w:rsidRPr="00FA5EDE">
        <w:rPr>
          <w:rFonts w:eastAsia="Times New Roman" w:cstheme="minorHAnsi"/>
          <w:sz w:val="36"/>
          <w:szCs w:val="36"/>
          <w:lang w:val="en-GB" w:eastAsia="hr-HR"/>
        </w:rPr>
        <w:t>201</w:t>
      </w:r>
      <w:r>
        <w:rPr>
          <w:rFonts w:eastAsia="Times New Roman" w:cstheme="minorHAnsi"/>
          <w:sz w:val="36"/>
          <w:szCs w:val="36"/>
          <w:lang w:val="en-GB" w:eastAsia="hr-HR"/>
        </w:rPr>
        <w:t>9</w:t>
      </w:r>
      <w:r w:rsidR="00FC449A" w:rsidRPr="00FA5EDE">
        <w:rPr>
          <w:rFonts w:eastAsia="Times New Roman" w:cstheme="minorHAnsi"/>
          <w:sz w:val="36"/>
          <w:szCs w:val="36"/>
          <w:lang w:val="en-GB" w:eastAsia="hr-HR"/>
        </w:rPr>
        <w:t xml:space="preserve"> </w:t>
      </w:r>
    </w:p>
    <w:p w:rsidR="00FA5EDE" w:rsidRDefault="00FA5EDE">
      <w:pPr>
        <w:rPr>
          <w:rFonts w:eastAsia="Times New Roman" w:cstheme="minorHAnsi"/>
          <w:sz w:val="24"/>
          <w:szCs w:val="28"/>
          <w:lang w:val="en-GB" w:eastAsia="hr-HR"/>
        </w:rPr>
      </w:pPr>
      <w:r>
        <w:rPr>
          <w:rFonts w:eastAsia="Times New Roman" w:cstheme="minorHAnsi"/>
          <w:sz w:val="24"/>
          <w:szCs w:val="28"/>
          <w:lang w:val="en-GB" w:eastAsia="hr-HR"/>
        </w:rPr>
        <w:br w:type="page"/>
      </w:r>
    </w:p>
    <w:p w:rsidR="00FA5EDE" w:rsidRDefault="00FA5EDE" w:rsidP="00FA7509">
      <w:pPr>
        <w:spacing w:before="240" w:after="240" w:line="256" w:lineRule="auto"/>
        <w:rPr>
          <w:rFonts w:eastAsia="Times New Roman" w:cstheme="minorHAnsi"/>
          <w:sz w:val="28"/>
          <w:szCs w:val="28"/>
          <w:lang w:val="en-GB" w:eastAsia="hr-HR"/>
        </w:rPr>
      </w:pPr>
    </w:p>
    <w:p w:rsidR="00FA7509" w:rsidRPr="00FA5EDE" w:rsidRDefault="00FA7509" w:rsidP="00FA7509">
      <w:pPr>
        <w:spacing w:before="240" w:after="240" w:line="256" w:lineRule="auto"/>
        <w:rPr>
          <w:rFonts w:eastAsia="Times New Roman" w:cstheme="minorHAnsi"/>
          <w:sz w:val="28"/>
          <w:szCs w:val="28"/>
          <w:lang w:val="en-GB" w:eastAsia="hr-HR"/>
        </w:rPr>
      </w:pPr>
      <w:r w:rsidRPr="00FA5EDE">
        <w:rPr>
          <w:rFonts w:eastAsia="Times New Roman" w:cstheme="minorHAnsi"/>
          <w:sz w:val="28"/>
          <w:szCs w:val="28"/>
          <w:lang w:val="en-GB" w:eastAsia="hr-HR"/>
        </w:rPr>
        <w:t>Speaker</w:t>
      </w:r>
      <w:r w:rsidR="008E3EDB" w:rsidRPr="00FA5EDE">
        <w:rPr>
          <w:rFonts w:eastAsia="Times New Roman" w:cstheme="minorHAnsi"/>
          <w:sz w:val="28"/>
          <w:szCs w:val="28"/>
          <w:lang w:val="en-GB" w:eastAsia="hr-HR"/>
        </w:rPr>
        <w:t>s</w:t>
      </w:r>
      <w:r w:rsidRPr="00FA5EDE">
        <w:rPr>
          <w:rFonts w:eastAsia="Times New Roman" w:cstheme="minorHAnsi"/>
          <w:sz w:val="28"/>
          <w:szCs w:val="28"/>
          <w:lang w:val="en-GB" w:eastAsia="hr-HR"/>
        </w:rPr>
        <w:t xml:space="preserve">: </w:t>
      </w:r>
    </w:p>
    <w:p w:rsidR="00FA7509" w:rsidRPr="00FA5EDE" w:rsidRDefault="00FA7509" w:rsidP="008E3EDB">
      <w:pPr>
        <w:spacing w:after="120" w:line="240" w:lineRule="auto"/>
        <w:jc w:val="both"/>
        <w:rPr>
          <w:rFonts w:cstheme="minorHAnsi"/>
          <w:sz w:val="24"/>
        </w:rPr>
      </w:pPr>
      <w:r w:rsidRPr="00FA5EDE">
        <w:rPr>
          <w:rFonts w:cstheme="minorHAnsi"/>
          <w:b/>
          <w:sz w:val="24"/>
        </w:rPr>
        <w:t>Zvonimir Jukić</w:t>
      </w:r>
      <w:r w:rsidRPr="00FA5EDE">
        <w:rPr>
          <w:rFonts w:cstheme="minorHAnsi"/>
          <w:sz w:val="24"/>
        </w:rPr>
        <w:t xml:space="preserve"> (Croatia), the expert on electronic procurement, </w:t>
      </w:r>
      <w:r w:rsidR="008E3EDB" w:rsidRPr="00FA5EDE">
        <w:rPr>
          <w:rFonts w:cstheme="minorHAnsi"/>
          <w:sz w:val="24"/>
        </w:rPr>
        <w:t>in particular</w:t>
      </w:r>
      <w:r w:rsidRPr="00FA5EDE">
        <w:rPr>
          <w:rFonts w:cstheme="minorHAnsi"/>
          <w:sz w:val="24"/>
        </w:rPr>
        <w:t xml:space="preserve"> publication of e</w:t>
      </w:r>
      <w:r w:rsidR="001748CD" w:rsidRPr="00FA5EDE">
        <w:rPr>
          <w:rFonts w:cstheme="minorHAnsi"/>
          <w:sz w:val="24"/>
        </w:rPr>
        <w:t>lectronic notices as a part of</w:t>
      </w:r>
      <w:r w:rsidRPr="00FA5EDE">
        <w:rPr>
          <w:rFonts w:cstheme="minorHAnsi"/>
          <w:sz w:val="24"/>
        </w:rPr>
        <w:t xml:space="preserve"> electronic procurement, working in Official </w:t>
      </w:r>
      <w:r w:rsidR="008E3EDB" w:rsidRPr="00FA5EDE">
        <w:rPr>
          <w:rFonts w:cstheme="minorHAnsi"/>
          <w:sz w:val="24"/>
        </w:rPr>
        <w:t>Gazette</w:t>
      </w:r>
      <w:r w:rsidRPr="00FA5EDE">
        <w:rPr>
          <w:rFonts w:cstheme="minorHAnsi"/>
          <w:sz w:val="24"/>
        </w:rPr>
        <w:t xml:space="preserve"> </w:t>
      </w:r>
      <w:r w:rsidR="008E3EDB" w:rsidRPr="00FA5EDE">
        <w:rPr>
          <w:rFonts w:cstheme="minorHAnsi"/>
          <w:sz w:val="24"/>
        </w:rPr>
        <w:t>of the Republic of Croatia</w:t>
      </w:r>
      <w:r w:rsidRPr="00FA5EDE">
        <w:rPr>
          <w:rFonts w:cstheme="minorHAnsi"/>
          <w:sz w:val="24"/>
        </w:rPr>
        <w:t xml:space="preserve">, that </w:t>
      </w:r>
      <w:r w:rsidR="00A54B0B" w:rsidRPr="00FA5EDE">
        <w:rPr>
          <w:rFonts w:cstheme="minorHAnsi"/>
          <w:sz w:val="24"/>
        </w:rPr>
        <w:t>is</w:t>
      </w:r>
      <w:r w:rsidRPr="00FA5EDE">
        <w:rPr>
          <w:rFonts w:cstheme="minorHAnsi"/>
          <w:sz w:val="24"/>
        </w:rPr>
        <w:t xml:space="preserve"> in charge of the Electronic Public Procurement </w:t>
      </w:r>
      <w:r w:rsidR="00205310" w:rsidRPr="00FA5EDE">
        <w:rPr>
          <w:rFonts w:cstheme="minorHAnsi"/>
          <w:sz w:val="24"/>
        </w:rPr>
        <w:t>Portal</w:t>
      </w:r>
      <w:r w:rsidRPr="00FA5EDE">
        <w:rPr>
          <w:rFonts w:cstheme="minorHAnsi"/>
          <w:sz w:val="24"/>
        </w:rPr>
        <w:t>.</w:t>
      </w:r>
    </w:p>
    <w:p w:rsidR="00FA7509" w:rsidRPr="00FA5EDE" w:rsidRDefault="00205310" w:rsidP="008E3EDB">
      <w:pPr>
        <w:spacing w:after="120" w:line="240" w:lineRule="auto"/>
        <w:jc w:val="both"/>
        <w:rPr>
          <w:rFonts w:cstheme="minorHAnsi"/>
          <w:sz w:val="24"/>
        </w:rPr>
      </w:pPr>
      <w:r w:rsidRPr="00FA5EDE">
        <w:rPr>
          <w:rFonts w:cstheme="minorHAnsi"/>
          <w:sz w:val="24"/>
        </w:rPr>
        <w:t>Zvonimir</w:t>
      </w:r>
      <w:r w:rsidR="00FA7509" w:rsidRPr="00FA5EDE">
        <w:rPr>
          <w:rFonts w:cstheme="minorHAnsi"/>
          <w:sz w:val="24"/>
        </w:rPr>
        <w:t xml:space="preserve"> Jukić has more </w:t>
      </w:r>
      <w:r w:rsidRPr="00FA5EDE">
        <w:rPr>
          <w:rFonts w:cstheme="minorHAnsi"/>
          <w:sz w:val="24"/>
        </w:rPr>
        <w:t>than</w:t>
      </w:r>
      <w:r w:rsidR="00FA7509" w:rsidRPr="00FA5EDE">
        <w:rPr>
          <w:rFonts w:cstheme="minorHAnsi"/>
          <w:sz w:val="24"/>
        </w:rPr>
        <w:t xml:space="preserve"> 10 years of overall experience in public procurement, working actively on setting up, developing and managing the Electronic Public Procurement </w:t>
      </w:r>
      <w:r w:rsidRPr="00FA5EDE">
        <w:rPr>
          <w:rFonts w:cstheme="minorHAnsi"/>
          <w:sz w:val="24"/>
        </w:rPr>
        <w:t>Portal</w:t>
      </w:r>
      <w:r w:rsidR="00FA7509" w:rsidRPr="00FA5EDE">
        <w:rPr>
          <w:rFonts w:cstheme="minorHAnsi"/>
          <w:sz w:val="24"/>
        </w:rPr>
        <w:t xml:space="preserve">. </w:t>
      </w:r>
      <w:r w:rsidRPr="00FA5EDE">
        <w:rPr>
          <w:rFonts w:cstheme="minorHAnsi"/>
          <w:sz w:val="24"/>
        </w:rPr>
        <w:t>He is responsible for transposition of public procurement directives into national legal system and implementation of all modules of electronic procurement.</w:t>
      </w:r>
    </w:p>
    <w:p w:rsidR="00FA7509" w:rsidRPr="00FA5EDE" w:rsidRDefault="00205310" w:rsidP="008E3EDB">
      <w:pPr>
        <w:spacing w:after="120" w:line="240" w:lineRule="auto"/>
        <w:jc w:val="both"/>
        <w:rPr>
          <w:sz w:val="24"/>
        </w:rPr>
      </w:pPr>
      <w:r w:rsidRPr="00FA5EDE">
        <w:rPr>
          <w:sz w:val="24"/>
        </w:rPr>
        <w:t>Zvonimir Jukić</w:t>
      </w:r>
      <w:r w:rsidR="00FA7509" w:rsidRPr="00FA5EDE">
        <w:rPr>
          <w:sz w:val="24"/>
        </w:rPr>
        <w:t xml:space="preserve"> is member of the working group for the development of electronic publishing and e-tendering</w:t>
      </w:r>
      <w:r w:rsidRPr="00FA5EDE">
        <w:rPr>
          <w:sz w:val="24"/>
        </w:rPr>
        <w:t xml:space="preserve"> (</w:t>
      </w:r>
      <w:r w:rsidRPr="00FA5EDE">
        <w:rPr>
          <w:rFonts w:cstheme="minorHAnsi"/>
          <w:sz w:val="24"/>
        </w:rPr>
        <w:t>European Commission committee responsible for public procurement</w:t>
      </w:r>
      <w:r w:rsidRPr="00FA5EDE">
        <w:rPr>
          <w:sz w:val="24"/>
        </w:rPr>
        <w:t>)</w:t>
      </w:r>
      <w:r w:rsidR="00FA7509" w:rsidRPr="00FA5EDE">
        <w:rPr>
          <w:sz w:val="24"/>
        </w:rPr>
        <w:t>. He also works as a trainer in this area.</w:t>
      </w:r>
    </w:p>
    <w:p w:rsidR="0012247E" w:rsidRDefault="00A92E3F" w:rsidP="0012247E">
      <w:pPr>
        <w:spacing w:after="120" w:line="240" w:lineRule="auto"/>
        <w:jc w:val="both"/>
        <w:rPr>
          <w:sz w:val="24"/>
        </w:rPr>
      </w:pPr>
      <w:r>
        <w:rPr>
          <w:b/>
          <w:sz w:val="24"/>
        </w:rPr>
        <w:t>Ivan Palčić</w:t>
      </w:r>
      <w:r w:rsidR="00D51CF6" w:rsidRPr="00FA5EDE">
        <w:rPr>
          <w:sz w:val="24"/>
        </w:rPr>
        <w:t xml:space="preserve"> (Croatia)</w:t>
      </w:r>
      <w:r w:rsidR="0012247E">
        <w:rPr>
          <w:sz w:val="24"/>
        </w:rPr>
        <w:t>,</w:t>
      </w:r>
      <w:r w:rsidR="00D51CF6" w:rsidRPr="00FA5EDE">
        <w:rPr>
          <w:sz w:val="24"/>
        </w:rPr>
        <w:t xml:space="preserve"> </w:t>
      </w:r>
      <w:r>
        <w:rPr>
          <w:sz w:val="24"/>
        </w:rPr>
        <w:t>public procurement expert</w:t>
      </w:r>
      <w:r w:rsidR="00CB1AC2">
        <w:rPr>
          <w:sz w:val="24"/>
        </w:rPr>
        <w:t>.</w:t>
      </w:r>
      <w:r w:rsidR="0012247E">
        <w:rPr>
          <w:sz w:val="24"/>
        </w:rPr>
        <w:t xml:space="preserve"> </w:t>
      </w:r>
      <w:r w:rsidR="0012247E" w:rsidRPr="0012247E">
        <w:rPr>
          <w:sz w:val="24"/>
        </w:rPr>
        <w:t>He is Head of Unit in the Directorate for the Public Procurement Policy of the Ministry of the Economy, Entrepreneurship and Crafts of the Republic of Croatia. I</w:t>
      </w:r>
      <w:r w:rsidR="0012247E">
        <w:rPr>
          <w:sz w:val="24"/>
        </w:rPr>
        <w:t>van Palčić</w:t>
      </w:r>
      <w:r w:rsidR="0012247E" w:rsidRPr="0012247E">
        <w:rPr>
          <w:sz w:val="24"/>
        </w:rPr>
        <w:t xml:space="preserve"> ha</w:t>
      </w:r>
      <w:r w:rsidR="0012247E">
        <w:rPr>
          <w:sz w:val="24"/>
        </w:rPr>
        <w:t>s more than eight</w:t>
      </w:r>
      <w:r w:rsidR="0012247E" w:rsidRPr="0012247E">
        <w:rPr>
          <w:sz w:val="24"/>
        </w:rPr>
        <w:t xml:space="preserve"> years of </w:t>
      </w:r>
      <w:r w:rsidR="0012247E">
        <w:rPr>
          <w:sz w:val="24"/>
        </w:rPr>
        <w:t xml:space="preserve">overall </w:t>
      </w:r>
      <w:r w:rsidR="0012247E" w:rsidRPr="0012247E">
        <w:rPr>
          <w:sz w:val="24"/>
        </w:rPr>
        <w:t xml:space="preserve">experience </w:t>
      </w:r>
      <w:r w:rsidR="0012247E">
        <w:rPr>
          <w:sz w:val="24"/>
        </w:rPr>
        <w:t xml:space="preserve">in public procurement </w:t>
      </w:r>
      <w:r w:rsidR="0012247E" w:rsidRPr="0012247E">
        <w:rPr>
          <w:sz w:val="24"/>
        </w:rPr>
        <w:t xml:space="preserve">working for the Ministry </w:t>
      </w:r>
      <w:r w:rsidR="00CB1AC2">
        <w:rPr>
          <w:sz w:val="24"/>
        </w:rPr>
        <w:t xml:space="preserve">in drafting legislative proposals (laws and by-laws) </w:t>
      </w:r>
      <w:r w:rsidR="0012247E">
        <w:rPr>
          <w:sz w:val="24"/>
        </w:rPr>
        <w:t>and for contracting authority</w:t>
      </w:r>
      <w:r w:rsidR="00CB1AC2" w:rsidRPr="00CB1AC2">
        <w:t xml:space="preserve"> </w:t>
      </w:r>
      <w:r w:rsidR="00CB1AC2" w:rsidRPr="00CB1AC2">
        <w:rPr>
          <w:sz w:val="24"/>
        </w:rPr>
        <w:t>in conducting public procurement procedures and preparing tender documents</w:t>
      </w:r>
      <w:r w:rsidR="0012247E">
        <w:rPr>
          <w:sz w:val="24"/>
        </w:rPr>
        <w:t>.</w:t>
      </w:r>
      <w:r w:rsidR="0012247E" w:rsidRPr="0012247E">
        <w:rPr>
          <w:sz w:val="24"/>
        </w:rPr>
        <w:t xml:space="preserve"> </w:t>
      </w:r>
    </w:p>
    <w:p w:rsidR="0012247E" w:rsidRPr="0012247E" w:rsidRDefault="0012247E" w:rsidP="0012247E">
      <w:pPr>
        <w:spacing w:after="120" w:line="240" w:lineRule="auto"/>
        <w:jc w:val="both"/>
        <w:rPr>
          <w:sz w:val="24"/>
        </w:rPr>
      </w:pPr>
      <w:r>
        <w:rPr>
          <w:sz w:val="24"/>
        </w:rPr>
        <w:t xml:space="preserve">Ivan Palčić is </w:t>
      </w:r>
      <w:r w:rsidRPr="0012247E">
        <w:rPr>
          <w:sz w:val="24"/>
        </w:rPr>
        <w:t xml:space="preserve">a </w:t>
      </w:r>
      <w:r>
        <w:rPr>
          <w:sz w:val="24"/>
        </w:rPr>
        <w:t xml:space="preserve">member </w:t>
      </w:r>
      <w:r w:rsidRPr="0012247E">
        <w:rPr>
          <w:sz w:val="24"/>
        </w:rPr>
        <w:t>of</w:t>
      </w:r>
      <w:r>
        <w:rPr>
          <w:sz w:val="24"/>
        </w:rPr>
        <w:t xml:space="preserve"> different</w:t>
      </w:r>
      <w:r w:rsidRPr="0012247E">
        <w:rPr>
          <w:sz w:val="24"/>
        </w:rPr>
        <w:t xml:space="preserve"> working groups in EU institutions</w:t>
      </w:r>
      <w:r>
        <w:rPr>
          <w:sz w:val="24"/>
        </w:rPr>
        <w:t xml:space="preserve"> regarding public procurement</w:t>
      </w:r>
      <w:r w:rsidRPr="0012247E">
        <w:rPr>
          <w:sz w:val="24"/>
        </w:rPr>
        <w:t xml:space="preserve">: the Council Working Party on Public Procurement and the Advisory Committee on Public Contracts (ACPC), Government Experts' Group on Public Procurement (EXPP) and Multi-stakeholder expert group on eProcurement (EXEP) within the Commission. </w:t>
      </w:r>
    </w:p>
    <w:p w:rsidR="0012247E" w:rsidRDefault="0012247E" w:rsidP="0012247E">
      <w:pPr>
        <w:spacing w:after="120" w:line="240" w:lineRule="auto"/>
        <w:jc w:val="both"/>
        <w:rPr>
          <w:sz w:val="24"/>
        </w:rPr>
      </w:pPr>
      <w:r w:rsidRPr="0012247E">
        <w:rPr>
          <w:sz w:val="24"/>
        </w:rPr>
        <w:t>He regularly attends workshops and seminars on public procurement as a lecturer. He is co-author of ten books and author of two scientific and more than fifteen professional papers on the topic of public procurement.</w:t>
      </w:r>
    </w:p>
    <w:p w:rsidR="009E5038" w:rsidRPr="00FA5EDE" w:rsidRDefault="009524E9" w:rsidP="009E5038">
      <w:pPr>
        <w:spacing w:after="120" w:line="240" w:lineRule="auto"/>
        <w:rPr>
          <w:rFonts w:cstheme="minorHAnsi"/>
          <w:sz w:val="24"/>
        </w:rPr>
      </w:pPr>
      <w:r w:rsidRPr="00FA5EDE">
        <w:rPr>
          <w:rFonts w:cstheme="minorHAnsi"/>
          <w:b/>
          <w:sz w:val="24"/>
        </w:rPr>
        <w:t>Tijana Nikolić</w:t>
      </w:r>
      <w:r w:rsidR="009E5038" w:rsidRPr="00FA5EDE">
        <w:rPr>
          <w:rFonts w:cstheme="minorHAnsi"/>
          <w:sz w:val="24"/>
        </w:rPr>
        <w:t xml:space="preserve"> (Serbia),</w:t>
      </w:r>
      <w:r w:rsidR="009E5038" w:rsidRPr="00FA5EDE">
        <w:rPr>
          <w:rFonts w:cstheme="minorHAnsi"/>
          <w:sz w:val="24"/>
          <w:lang w:val="sr-Latn-RS"/>
        </w:rPr>
        <w:t xml:space="preserve"> attorney at law and expert on public procurement.</w:t>
      </w:r>
    </w:p>
    <w:p w:rsidR="009E5038" w:rsidRPr="00FA5EDE" w:rsidRDefault="009E5038" w:rsidP="009E5038">
      <w:pPr>
        <w:spacing w:after="120" w:line="240" w:lineRule="auto"/>
        <w:jc w:val="both"/>
        <w:rPr>
          <w:rFonts w:cstheme="minorHAnsi"/>
          <w:sz w:val="24"/>
        </w:rPr>
      </w:pPr>
      <w:r w:rsidRPr="00FA5EDE">
        <w:rPr>
          <w:rFonts w:cstheme="minorHAnsi"/>
          <w:sz w:val="24"/>
          <w:lang w:val="sr-Latn-RS"/>
        </w:rPr>
        <w:t>Tijana Nikolic </w:t>
      </w:r>
      <w:r w:rsidRPr="00FA5EDE">
        <w:rPr>
          <w:rFonts w:cstheme="minorHAnsi"/>
          <w:sz w:val="24"/>
        </w:rPr>
        <w:t xml:space="preserve">has more than </w:t>
      </w:r>
      <w:r w:rsidR="00FA5EDE" w:rsidRPr="00FA5EDE">
        <w:rPr>
          <w:rFonts w:cstheme="minorHAnsi"/>
          <w:sz w:val="24"/>
        </w:rPr>
        <w:t>8</w:t>
      </w:r>
      <w:r w:rsidRPr="00FA5EDE">
        <w:rPr>
          <w:rFonts w:cstheme="minorHAnsi"/>
          <w:sz w:val="24"/>
        </w:rPr>
        <w:t xml:space="preserve"> years of overall experience in implementing and advising in public procurement for state authorities, public enterprises, organizations entrusted with public competences and companies, both from the side of contracting authority and bidders. She was involved in all phases of public procurement procedure including drafting complete tender documentation, implementation of the public procurement procedure as the president/member of the commission, as well as in proceedings before Republic Commission for the Protection of Rights in Public Procurement Procedures.</w:t>
      </w:r>
    </w:p>
    <w:p w:rsidR="00FA5EDE" w:rsidRDefault="00FA5EDE">
      <w:pPr>
        <w:rPr>
          <w:rFonts w:eastAsia="Times New Roman" w:cstheme="minorHAnsi"/>
          <w:b/>
          <w:sz w:val="28"/>
          <w:szCs w:val="28"/>
          <w:lang w:val="en-GB" w:eastAsia="hr-HR"/>
        </w:rPr>
      </w:pPr>
      <w:r>
        <w:rPr>
          <w:rFonts w:eastAsia="Times New Roman" w:cstheme="minorHAnsi"/>
          <w:b/>
          <w:sz w:val="28"/>
          <w:szCs w:val="28"/>
          <w:lang w:val="en-GB" w:eastAsia="hr-HR"/>
        </w:rPr>
        <w:br w:type="page"/>
      </w:r>
    </w:p>
    <w:p w:rsidR="00FA7509" w:rsidRPr="00FA5EDE" w:rsidRDefault="00FA7509" w:rsidP="0047011A">
      <w:pPr>
        <w:spacing w:after="160"/>
        <w:jc w:val="center"/>
        <w:rPr>
          <w:rFonts w:eastAsia="Times New Roman" w:cstheme="minorHAnsi"/>
          <w:b/>
          <w:sz w:val="32"/>
          <w:szCs w:val="28"/>
          <w:lang w:val="en-GB" w:eastAsia="hr-HR"/>
        </w:rPr>
      </w:pPr>
      <w:r w:rsidRPr="00FA5EDE">
        <w:rPr>
          <w:rFonts w:eastAsia="Times New Roman" w:cstheme="minorHAnsi"/>
          <w:b/>
          <w:sz w:val="32"/>
          <w:szCs w:val="28"/>
          <w:lang w:val="en-GB" w:eastAsia="hr-HR"/>
        </w:rPr>
        <w:lastRenderedPageBreak/>
        <w:t>Agenda</w:t>
      </w:r>
    </w:p>
    <w:tbl>
      <w:tblPr>
        <w:tblStyle w:val="TableGrid"/>
        <w:tblW w:w="0" w:type="auto"/>
        <w:tblLook w:val="04A0" w:firstRow="1" w:lastRow="0" w:firstColumn="1" w:lastColumn="0" w:noHBand="0" w:noVBand="1"/>
      </w:tblPr>
      <w:tblGrid>
        <w:gridCol w:w="2122"/>
        <w:gridCol w:w="7201"/>
      </w:tblGrid>
      <w:tr w:rsidR="00947709" w:rsidTr="00A92E3F">
        <w:tc>
          <w:tcPr>
            <w:tcW w:w="2122" w:type="dxa"/>
            <w:shd w:val="clear" w:color="auto" w:fill="E5DFEC" w:themeFill="accent4" w:themeFillTint="33"/>
          </w:tcPr>
          <w:p w:rsidR="00947709" w:rsidRPr="00F11ED1" w:rsidRDefault="00947709" w:rsidP="00F11ED1">
            <w:pPr>
              <w:spacing w:before="120" w:after="120"/>
              <w:jc w:val="center"/>
              <w:rPr>
                <w:rFonts w:eastAsia="Times New Roman" w:cstheme="minorHAnsi"/>
                <w:b/>
                <w:sz w:val="24"/>
                <w:szCs w:val="28"/>
                <w:lang w:val="en-GB" w:eastAsia="hr-HR"/>
              </w:rPr>
            </w:pPr>
            <w:r w:rsidRPr="00F11ED1">
              <w:rPr>
                <w:rFonts w:cstheme="minorHAnsi"/>
                <w:b/>
                <w:sz w:val="24"/>
                <w:lang w:val="en-GB"/>
              </w:rPr>
              <w:t>9:00 – 9:30</w:t>
            </w:r>
          </w:p>
        </w:tc>
        <w:tc>
          <w:tcPr>
            <w:tcW w:w="7201" w:type="dxa"/>
            <w:shd w:val="clear" w:color="auto" w:fill="E5DFEC" w:themeFill="accent4" w:themeFillTint="33"/>
          </w:tcPr>
          <w:p w:rsidR="00947709" w:rsidRDefault="00947709" w:rsidP="00F11ED1">
            <w:pPr>
              <w:spacing w:before="120" w:after="120"/>
              <w:rPr>
                <w:rFonts w:eastAsia="Times New Roman" w:cstheme="minorHAnsi"/>
                <w:b/>
                <w:sz w:val="24"/>
                <w:szCs w:val="28"/>
                <w:lang w:val="en-GB" w:eastAsia="hr-HR"/>
              </w:rPr>
            </w:pPr>
            <w:r w:rsidRPr="00BE516B">
              <w:rPr>
                <w:rFonts w:cstheme="minorHAnsi"/>
                <w:b/>
                <w:sz w:val="24"/>
                <w:lang w:val="en-GB"/>
              </w:rPr>
              <w:t>Registration</w:t>
            </w:r>
          </w:p>
        </w:tc>
      </w:tr>
      <w:tr w:rsidR="00947709" w:rsidTr="004537C0">
        <w:tc>
          <w:tcPr>
            <w:tcW w:w="2122" w:type="dxa"/>
            <w:shd w:val="clear" w:color="auto" w:fill="B8CCE4" w:themeFill="accent1" w:themeFillTint="66"/>
          </w:tcPr>
          <w:p w:rsidR="00947709" w:rsidRPr="00F11ED1" w:rsidRDefault="00947709" w:rsidP="00F11ED1">
            <w:pPr>
              <w:spacing w:before="120" w:after="120"/>
              <w:jc w:val="center"/>
              <w:rPr>
                <w:rFonts w:eastAsia="Times New Roman" w:cstheme="minorHAnsi"/>
                <w:b/>
                <w:sz w:val="24"/>
                <w:szCs w:val="28"/>
                <w:lang w:val="en-GB" w:eastAsia="hr-HR"/>
              </w:rPr>
            </w:pPr>
            <w:r w:rsidRPr="00F11ED1">
              <w:rPr>
                <w:rFonts w:cstheme="minorHAnsi"/>
                <w:b/>
                <w:sz w:val="24"/>
                <w:lang w:val="en-GB"/>
              </w:rPr>
              <w:t>9:30 – 9:45</w:t>
            </w:r>
          </w:p>
        </w:tc>
        <w:tc>
          <w:tcPr>
            <w:tcW w:w="7201" w:type="dxa"/>
            <w:shd w:val="clear" w:color="auto" w:fill="B8CCE4" w:themeFill="accent1" w:themeFillTint="66"/>
          </w:tcPr>
          <w:p w:rsidR="00947709" w:rsidRPr="00F11ED1" w:rsidRDefault="00947709" w:rsidP="00F11ED1">
            <w:pPr>
              <w:spacing w:before="120" w:after="120"/>
              <w:jc w:val="both"/>
              <w:rPr>
                <w:rFonts w:cstheme="minorHAnsi"/>
                <w:b/>
                <w:sz w:val="24"/>
                <w:lang w:val="en-GB"/>
              </w:rPr>
            </w:pPr>
            <w:r w:rsidRPr="00947709">
              <w:rPr>
                <w:rFonts w:cstheme="minorHAnsi"/>
                <w:b/>
                <w:sz w:val="24"/>
                <w:lang w:val="en-GB"/>
              </w:rPr>
              <w:t>Introduction: Presentation of the agenda, speaker</w:t>
            </w:r>
            <w:r w:rsidR="00594ADD">
              <w:rPr>
                <w:rFonts w:cstheme="minorHAnsi"/>
                <w:b/>
                <w:sz w:val="24"/>
                <w:lang w:val="en-GB"/>
              </w:rPr>
              <w:t>s</w:t>
            </w:r>
            <w:r w:rsidRPr="00947709">
              <w:rPr>
                <w:rFonts w:cstheme="minorHAnsi"/>
                <w:b/>
                <w:sz w:val="24"/>
                <w:lang w:val="en-GB"/>
              </w:rPr>
              <w:t xml:space="preserve"> and the purpose of</w:t>
            </w:r>
            <w:r w:rsidRPr="00D43FFD">
              <w:rPr>
                <w:rFonts w:cstheme="minorHAnsi"/>
                <w:b/>
                <w:sz w:val="24"/>
                <w:lang w:val="en-GB"/>
              </w:rPr>
              <w:t xml:space="preserve"> the workshop</w:t>
            </w:r>
          </w:p>
        </w:tc>
      </w:tr>
      <w:tr w:rsidR="00594ADD" w:rsidRPr="00594ADD" w:rsidTr="004537C0">
        <w:tc>
          <w:tcPr>
            <w:tcW w:w="2122" w:type="dxa"/>
            <w:shd w:val="clear" w:color="auto" w:fill="B8CCE4" w:themeFill="accent1" w:themeFillTint="66"/>
          </w:tcPr>
          <w:p w:rsidR="00594ADD" w:rsidRPr="00F11ED1" w:rsidRDefault="00594ADD" w:rsidP="00F11ED1">
            <w:pPr>
              <w:spacing w:before="120" w:after="120"/>
              <w:jc w:val="center"/>
              <w:rPr>
                <w:rFonts w:eastAsia="Times New Roman" w:cstheme="minorHAnsi"/>
                <w:b/>
                <w:sz w:val="24"/>
                <w:szCs w:val="24"/>
                <w:lang w:val="en-GB" w:eastAsia="hr-HR"/>
              </w:rPr>
            </w:pPr>
            <w:r w:rsidRPr="00F11ED1">
              <w:rPr>
                <w:rFonts w:eastAsia="Times New Roman" w:cstheme="minorHAnsi"/>
                <w:b/>
                <w:sz w:val="24"/>
                <w:szCs w:val="24"/>
                <w:lang w:val="en-GB" w:eastAsia="hr-HR"/>
              </w:rPr>
              <w:t>9:45 – 11:</w:t>
            </w:r>
            <w:r w:rsidR="003E137B">
              <w:rPr>
                <w:rFonts w:eastAsia="Times New Roman" w:cstheme="minorHAnsi"/>
                <w:b/>
                <w:sz w:val="24"/>
                <w:szCs w:val="24"/>
                <w:lang w:val="en-GB" w:eastAsia="hr-HR"/>
              </w:rPr>
              <w:t>30</w:t>
            </w:r>
          </w:p>
        </w:tc>
        <w:tc>
          <w:tcPr>
            <w:tcW w:w="7201" w:type="dxa"/>
            <w:shd w:val="clear" w:color="auto" w:fill="B8CCE4" w:themeFill="accent1" w:themeFillTint="66"/>
          </w:tcPr>
          <w:p w:rsidR="00A92E3F" w:rsidRPr="00A92E3F" w:rsidRDefault="00A92E3F" w:rsidP="00A92E3F">
            <w:pPr>
              <w:spacing w:before="120" w:after="80"/>
              <w:jc w:val="both"/>
              <w:rPr>
                <w:rFonts w:cstheme="minorHAnsi"/>
                <w:sz w:val="24"/>
                <w:lang w:val="en-GB"/>
              </w:rPr>
            </w:pPr>
            <w:r>
              <w:rPr>
                <w:rFonts w:cstheme="minorHAnsi"/>
                <w:sz w:val="24"/>
                <w:lang w:val="en-GB"/>
              </w:rPr>
              <w:t>General approach, concept</w:t>
            </w:r>
            <w:r w:rsidR="004537C0">
              <w:rPr>
                <w:rFonts w:cstheme="minorHAnsi"/>
                <w:sz w:val="24"/>
                <w:lang w:val="en-GB"/>
              </w:rPr>
              <w:t>,</w:t>
            </w:r>
            <w:r>
              <w:rPr>
                <w:rFonts w:cstheme="minorHAnsi"/>
                <w:sz w:val="24"/>
                <w:lang w:val="en-GB"/>
              </w:rPr>
              <w:t xml:space="preserve"> details</w:t>
            </w:r>
            <w:r w:rsidR="004537C0">
              <w:rPr>
                <w:rFonts w:cstheme="minorHAnsi"/>
                <w:sz w:val="24"/>
                <w:lang w:val="en-GB"/>
              </w:rPr>
              <w:t xml:space="preserve"> and practical issues</w:t>
            </w:r>
            <w:r>
              <w:rPr>
                <w:rFonts w:cstheme="minorHAnsi"/>
                <w:sz w:val="24"/>
                <w:lang w:val="en-GB"/>
              </w:rPr>
              <w:t>:</w:t>
            </w:r>
          </w:p>
          <w:p w:rsidR="00594ADD" w:rsidRPr="00DE0CA0" w:rsidRDefault="00A92E3F" w:rsidP="0047011A">
            <w:pPr>
              <w:pStyle w:val="ListParagraph"/>
              <w:numPr>
                <w:ilvl w:val="0"/>
                <w:numId w:val="16"/>
              </w:numPr>
              <w:spacing w:before="120" w:after="80"/>
              <w:ind w:left="714" w:hanging="357"/>
              <w:jc w:val="both"/>
              <w:rPr>
                <w:rFonts w:cstheme="minorHAnsi"/>
                <w:sz w:val="24"/>
                <w:lang w:val="en-GB"/>
              </w:rPr>
            </w:pPr>
            <w:r>
              <w:rPr>
                <w:rFonts w:cstheme="minorHAnsi"/>
                <w:sz w:val="24"/>
                <w:lang w:val="en-GB"/>
              </w:rPr>
              <w:t>Draft implementing regulation on the content of tender documents</w:t>
            </w:r>
          </w:p>
          <w:p w:rsidR="00594ADD" w:rsidRPr="004537C0" w:rsidRDefault="00A92E3F" w:rsidP="0047011A">
            <w:pPr>
              <w:pStyle w:val="ListParagraph"/>
              <w:numPr>
                <w:ilvl w:val="0"/>
                <w:numId w:val="16"/>
              </w:numPr>
              <w:spacing w:before="120" w:after="80"/>
              <w:ind w:left="714" w:hanging="357"/>
              <w:jc w:val="both"/>
              <w:rPr>
                <w:rFonts w:eastAsia="Times New Roman" w:cstheme="minorHAnsi"/>
                <w:sz w:val="24"/>
                <w:szCs w:val="24"/>
                <w:lang w:val="en-GB" w:eastAsia="hr-HR"/>
              </w:rPr>
            </w:pPr>
            <w:r w:rsidRPr="004537C0">
              <w:rPr>
                <w:rFonts w:eastAsia="Times New Roman" w:cstheme="minorHAnsi"/>
                <w:sz w:val="24"/>
                <w:szCs w:val="24"/>
                <w:lang w:val="en-GB" w:eastAsia="hr-HR"/>
              </w:rPr>
              <w:t>Draft implementing regula</w:t>
            </w:r>
            <w:r w:rsidR="004537C0">
              <w:rPr>
                <w:rFonts w:eastAsia="Times New Roman" w:cstheme="minorHAnsi"/>
                <w:sz w:val="24"/>
                <w:szCs w:val="24"/>
                <w:lang w:val="en-GB" w:eastAsia="hr-HR"/>
              </w:rPr>
              <w:t>t</w:t>
            </w:r>
            <w:r w:rsidRPr="004537C0">
              <w:rPr>
                <w:rFonts w:eastAsia="Times New Roman" w:cstheme="minorHAnsi"/>
                <w:sz w:val="24"/>
                <w:szCs w:val="24"/>
                <w:lang w:val="en-GB" w:eastAsia="hr-HR"/>
              </w:rPr>
              <w:t>ion on the public opening of tenders</w:t>
            </w:r>
          </w:p>
        </w:tc>
      </w:tr>
      <w:tr w:rsidR="00A92E3F" w:rsidRPr="00594ADD" w:rsidTr="00DB325E">
        <w:tc>
          <w:tcPr>
            <w:tcW w:w="9323" w:type="dxa"/>
            <w:gridSpan w:val="2"/>
          </w:tcPr>
          <w:p w:rsidR="00A92E3F" w:rsidRDefault="00A92E3F" w:rsidP="00A92E3F">
            <w:pPr>
              <w:spacing w:before="120" w:after="80"/>
              <w:jc w:val="both"/>
              <w:rPr>
                <w:rFonts w:cstheme="minorHAnsi"/>
                <w:sz w:val="24"/>
                <w:lang w:val="en-GB"/>
              </w:rPr>
            </w:pPr>
            <w:r>
              <w:rPr>
                <w:rFonts w:cstheme="minorHAnsi"/>
                <w:sz w:val="24"/>
                <w:lang w:val="en-GB"/>
              </w:rPr>
              <w:t>Ivan Palčić and Tijana Nikolić, experts</w:t>
            </w:r>
          </w:p>
        </w:tc>
      </w:tr>
      <w:tr w:rsidR="00594ADD" w:rsidTr="00A92E3F">
        <w:tc>
          <w:tcPr>
            <w:tcW w:w="2122" w:type="dxa"/>
            <w:shd w:val="clear" w:color="auto" w:fill="E5DFEC" w:themeFill="accent4" w:themeFillTint="33"/>
          </w:tcPr>
          <w:p w:rsidR="00594ADD" w:rsidRPr="00F11ED1" w:rsidRDefault="00594ADD" w:rsidP="004537C0">
            <w:pPr>
              <w:spacing w:before="120" w:after="120"/>
              <w:rPr>
                <w:rFonts w:eastAsia="Times New Roman" w:cstheme="minorHAnsi"/>
                <w:b/>
                <w:sz w:val="32"/>
                <w:szCs w:val="28"/>
                <w:lang w:val="en-GB" w:eastAsia="hr-HR"/>
              </w:rPr>
            </w:pPr>
            <w:r w:rsidRPr="00F11ED1">
              <w:rPr>
                <w:rFonts w:cstheme="minorHAnsi"/>
                <w:b/>
                <w:sz w:val="24"/>
                <w:lang w:val="en-GB"/>
              </w:rPr>
              <w:t>11:30 – 11:45</w:t>
            </w:r>
          </w:p>
        </w:tc>
        <w:tc>
          <w:tcPr>
            <w:tcW w:w="7201" w:type="dxa"/>
            <w:shd w:val="clear" w:color="auto" w:fill="E5DFEC" w:themeFill="accent4" w:themeFillTint="33"/>
          </w:tcPr>
          <w:p w:rsidR="00594ADD" w:rsidRDefault="00594ADD" w:rsidP="00F11ED1">
            <w:pPr>
              <w:spacing w:before="120" w:after="120"/>
              <w:jc w:val="both"/>
              <w:rPr>
                <w:rFonts w:eastAsia="Times New Roman" w:cstheme="minorHAnsi"/>
                <w:b/>
                <w:sz w:val="32"/>
                <w:szCs w:val="28"/>
                <w:lang w:val="en-GB" w:eastAsia="hr-HR"/>
              </w:rPr>
            </w:pPr>
            <w:r w:rsidRPr="00D43FFD">
              <w:rPr>
                <w:rFonts w:cstheme="minorHAnsi"/>
                <w:i/>
                <w:sz w:val="24"/>
                <w:lang w:val="en-GB"/>
              </w:rPr>
              <w:t>Coffee break</w:t>
            </w:r>
            <w:r>
              <w:rPr>
                <w:rFonts w:cstheme="minorHAnsi"/>
                <w:i/>
                <w:sz w:val="24"/>
                <w:lang w:val="en-GB"/>
              </w:rPr>
              <w:t xml:space="preserve"> </w:t>
            </w:r>
          </w:p>
        </w:tc>
      </w:tr>
      <w:tr w:rsidR="00DE0CA0" w:rsidTr="004537C0">
        <w:tc>
          <w:tcPr>
            <w:tcW w:w="2122" w:type="dxa"/>
            <w:shd w:val="clear" w:color="auto" w:fill="B8CCE4" w:themeFill="accent1" w:themeFillTint="66"/>
          </w:tcPr>
          <w:p w:rsidR="00DE0CA0" w:rsidRPr="00F11ED1" w:rsidRDefault="00DE0CA0" w:rsidP="00F11ED1">
            <w:pPr>
              <w:spacing w:before="120" w:after="120"/>
              <w:rPr>
                <w:rFonts w:cstheme="minorHAnsi"/>
                <w:b/>
                <w:sz w:val="24"/>
                <w:lang w:val="en-GB"/>
              </w:rPr>
            </w:pPr>
            <w:r w:rsidRPr="00F11ED1">
              <w:rPr>
                <w:rFonts w:cstheme="minorHAnsi"/>
                <w:b/>
                <w:sz w:val="24"/>
                <w:lang w:val="en-GB"/>
              </w:rPr>
              <w:t>11:45 – 13:00</w:t>
            </w:r>
          </w:p>
        </w:tc>
        <w:tc>
          <w:tcPr>
            <w:tcW w:w="7201" w:type="dxa"/>
            <w:shd w:val="clear" w:color="auto" w:fill="B8CCE4" w:themeFill="accent1" w:themeFillTint="66"/>
          </w:tcPr>
          <w:p w:rsidR="004537C0" w:rsidRPr="00A92E3F" w:rsidRDefault="004537C0" w:rsidP="004537C0">
            <w:pPr>
              <w:spacing w:before="120" w:after="80"/>
              <w:jc w:val="both"/>
              <w:rPr>
                <w:rFonts w:cstheme="minorHAnsi"/>
                <w:sz w:val="24"/>
                <w:lang w:val="en-GB"/>
              </w:rPr>
            </w:pPr>
            <w:r>
              <w:rPr>
                <w:rFonts w:cstheme="minorHAnsi"/>
                <w:sz w:val="24"/>
                <w:lang w:val="en-GB"/>
              </w:rPr>
              <w:t>General approach, concept, details and practical issues:</w:t>
            </w:r>
          </w:p>
          <w:p w:rsidR="00DE0CA0" w:rsidRPr="00DE0CA0" w:rsidRDefault="004537C0" w:rsidP="0047011A">
            <w:pPr>
              <w:pStyle w:val="ListParagraph"/>
              <w:numPr>
                <w:ilvl w:val="0"/>
                <w:numId w:val="17"/>
              </w:numPr>
              <w:spacing w:before="120" w:after="80"/>
              <w:ind w:left="714" w:hanging="357"/>
              <w:rPr>
                <w:rFonts w:cstheme="minorHAnsi"/>
                <w:sz w:val="24"/>
                <w:lang w:val="en-GB"/>
              </w:rPr>
            </w:pPr>
            <w:r>
              <w:rPr>
                <w:rFonts w:cstheme="minorHAnsi"/>
                <w:sz w:val="24"/>
                <w:lang w:val="en-GB"/>
              </w:rPr>
              <w:t>Draft implementing regulation on the monitoring of the Public Procurement Office</w:t>
            </w:r>
          </w:p>
        </w:tc>
      </w:tr>
      <w:tr w:rsidR="004537C0" w:rsidTr="00A1244F">
        <w:tc>
          <w:tcPr>
            <w:tcW w:w="9323" w:type="dxa"/>
            <w:gridSpan w:val="2"/>
          </w:tcPr>
          <w:p w:rsidR="004537C0" w:rsidRDefault="004537C0" w:rsidP="004537C0">
            <w:pPr>
              <w:spacing w:before="120" w:after="80"/>
              <w:jc w:val="both"/>
              <w:rPr>
                <w:rFonts w:cstheme="minorHAnsi"/>
                <w:sz w:val="24"/>
                <w:lang w:val="en-GB"/>
              </w:rPr>
            </w:pPr>
            <w:r>
              <w:rPr>
                <w:rFonts w:cstheme="minorHAnsi"/>
                <w:sz w:val="24"/>
                <w:lang w:val="en-GB"/>
              </w:rPr>
              <w:t>Ivan Palčić and Tijana Nikolić, experts</w:t>
            </w:r>
          </w:p>
        </w:tc>
      </w:tr>
      <w:tr w:rsidR="00DE0CA0" w:rsidTr="00A92E3F">
        <w:tc>
          <w:tcPr>
            <w:tcW w:w="2122" w:type="dxa"/>
            <w:shd w:val="clear" w:color="auto" w:fill="E5DFEC" w:themeFill="accent4" w:themeFillTint="33"/>
          </w:tcPr>
          <w:p w:rsidR="00DE0CA0" w:rsidRPr="00F11ED1" w:rsidRDefault="00DE0CA0" w:rsidP="00F11ED1">
            <w:pPr>
              <w:spacing w:before="120" w:after="120"/>
              <w:rPr>
                <w:rFonts w:cstheme="minorHAnsi"/>
                <w:b/>
                <w:sz w:val="24"/>
                <w:lang w:val="en-GB"/>
              </w:rPr>
            </w:pPr>
            <w:r w:rsidRPr="00F11ED1">
              <w:rPr>
                <w:rFonts w:cstheme="minorHAnsi"/>
                <w:b/>
                <w:sz w:val="24"/>
                <w:lang w:val="en-GB"/>
              </w:rPr>
              <w:t>13:00 – 13:45</w:t>
            </w:r>
          </w:p>
        </w:tc>
        <w:tc>
          <w:tcPr>
            <w:tcW w:w="7201" w:type="dxa"/>
            <w:shd w:val="clear" w:color="auto" w:fill="E5DFEC" w:themeFill="accent4" w:themeFillTint="33"/>
          </w:tcPr>
          <w:p w:rsidR="00DE0CA0" w:rsidRDefault="00DE0CA0" w:rsidP="00F11ED1">
            <w:pPr>
              <w:spacing w:before="120" w:after="120"/>
              <w:rPr>
                <w:rFonts w:cstheme="minorHAnsi"/>
                <w:sz w:val="24"/>
                <w:lang w:val="en-GB"/>
              </w:rPr>
            </w:pPr>
            <w:r w:rsidRPr="00D43FFD">
              <w:rPr>
                <w:rFonts w:cstheme="minorHAnsi"/>
                <w:i/>
                <w:sz w:val="24"/>
                <w:lang w:val="en-GB"/>
              </w:rPr>
              <w:t xml:space="preserve">Lunch </w:t>
            </w:r>
            <w:r>
              <w:rPr>
                <w:rFonts w:cstheme="minorHAnsi"/>
                <w:i/>
                <w:sz w:val="24"/>
                <w:lang w:val="en-GB"/>
              </w:rPr>
              <w:t xml:space="preserve">break </w:t>
            </w:r>
          </w:p>
        </w:tc>
      </w:tr>
      <w:tr w:rsidR="00DE0CA0" w:rsidTr="004537C0">
        <w:trPr>
          <w:trHeight w:val="1406"/>
        </w:trPr>
        <w:tc>
          <w:tcPr>
            <w:tcW w:w="2122" w:type="dxa"/>
            <w:shd w:val="clear" w:color="auto" w:fill="B8CCE4" w:themeFill="accent1" w:themeFillTint="66"/>
          </w:tcPr>
          <w:p w:rsidR="00DE0CA0" w:rsidRPr="00F11ED1" w:rsidRDefault="00DE0CA0" w:rsidP="00F11ED1">
            <w:pPr>
              <w:spacing w:before="120" w:after="120"/>
              <w:rPr>
                <w:rFonts w:cstheme="minorHAnsi"/>
                <w:b/>
                <w:sz w:val="24"/>
                <w:lang w:val="en-GB"/>
              </w:rPr>
            </w:pPr>
            <w:r w:rsidRPr="00F11ED1">
              <w:rPr>
                <w:rFonts w:cstheme="minorHAnsi"/>
                <w:b/>
                <w:sz w:val="24"/>
                <w:lang w:val="en-GB"/>
              </w:rPr>
              <w:t>13:45 – 15:30</w:t>
            </w:r>
          </w:p>
        </w:tc>
        <w:tc>
          <w:tcPr>
            <w:tcW w:w="7201" w:type="dxa"/>
            <w:shd w:val="clear" w:color="auto" w:fill="B8CCE4" w:themeFill="accent1" w:themeFillTint="66"/>
          </w:tcPr>
          <w:p w:rsidR="004537C0" w:rsidRPr="00A92E3F" w:rsidRDefault="004537C0" w:rsidP="004537C0">
            <w:pPr>
              <w:spacing w:before="120" w:after="80"/>
              <w:jc w:val="both"/>
              <w:rPr>
                <w:rFonts w:cstheme="minorHAnsi"/>
                <w:sz w:val="24"/>
                <w:lang w:val="en-GB"/>
              </w:rPr>
            </w:pPr>
            <w:r>
              <w:rPr>
                <w:rFonts w:cstheme="minorHAnsi"/>
                <w:sz w:val="24"/>
                <w:lang w:val="en-GB"/>
              </w:rPr>
              <w:t>General approach, concept, details and practical issues:</w:t>
            </w:r>
          </w:p>
          <w:p w:rsidR="00DE0CA0" w:rsidRPr="00DE0CA0" w:rsidRDefault="004537C0" w:rsidP="004537C0">
            <w:pPr>
              <w:pStyle w:val="ListParagraph"/>
              <w:numPr>
                <w:ilvl w:val="0"/>
                <w:numId w:val="17"/>
              </w:numPr>
              <w:spacing w:before="120" w:after="80"/>
              <w:ind w:left="714" w:hanging="357"/>
              <w:rPr>
                <w:rFonts w:cstheme="minorHAnsi"/>
                <w:i/>
                <w:sz w:val="24"/>
                <w:lang w:val="en-GB"/>
              </w:rPr>
            </w:pPr>
            <w:r w:rsidRPr="004537C0">
              <w:rPr>
                <w:rFonts w:cstheme="minorHAnsi"/>
                <w:sz w:val="24"/>
                <w:lang w:val="en-GB"/>
              </w:rPr>
              <w:t>A standard form of a declaration of fulfilment of criteria for qualitative selection of economic operators</w:t>
            </w:r>
          </w:p>
        </w:tc>
      </w:tr>
      <w:tr w:rsidR="004537C0" w:rsidTr="004537C0">
        <w:trPr>
          <w:trHeight w:val="582"/>
        </w:trPr>
        <w:tc>
          <w:tcPr>
            <w:tcW w:w="9323" w:type="dxa"/>
            <w:gridSpan w:val="2"/>
          </w:tcPr>
          <w:p w:rsidR="004537C0" w:rsidRDefault="004537C0" w:rsidP="004537C0">
            <w:pPr>
              <w:spacing w:before="120" w:after="80"/>
              <w:jc w:val="both"/>
              <w:rPr>
                <w:rFonts w:cstheme="minorHAnsi"/>
                <w:sz w:val="24"/>
                <w:lang w:val="en-GB"/>
              </w:rPr>
            </w:pPr>
            <w:r>
              <w:rPr>
                <w:rFonts w:cstheme="minorHAnsi"/>
                <w:sz w:val="24"/>
                <w:lang w:val="en-GB"/>
              </w:rPr>
              <w:t>Zvonimir Jukić and Tijana Nikolić, experts</w:t>
            </w:r>
          </w:p>
        </w:tc>
      </w:tr>
      <w:tr w:rsidR="004537C0" w:rsidTr="00A92E3F">
        <w:trPr>
          <w:trHeight w:val="307"/>
        </w:trPr>
        <w:tc>
          <w:tcPr>
            <w:tcW w:w="2122" w:type="dxa"/>
            <w:shd w:val="clear" w:color="auto" w:fill="E5DFEC" w:themeFill="accent4" w:themeFillTint="33"/>
          </w:tcPr>
          <w:p w:rsidR="004537C0" w:rsidRPr="00F11ED1" w:rsidRDefault="004537C0" w:rsidP="004537C0">
            <w:pPr>
              <w:spacing w:before="120" w:after="120"/>
              <w:rPr>
                <w:rFonts w:cstheme="minorHAnsi"/>
                <w:b/>
                <w:sz w:val="24"/>
                <w:lang w:val="en-GB"/>
              </w:rPr>
            </w:pPr>
            <w:r w:rsidRPr="00F11ED1">
              <w:rPr>
                <w:rFonts w:cstheme="minorHAnsi"/>
                <w:b/>
                <w:sz w:val="24"/>
                <w:lang w:val="en-GB"/>
              </w:rPr>
              <w:t>15:30</w:t>
            </w:r>
          </w:p>
        </w:tc>
        <w:tc>
          <w:tcPr>
            <w:tcW w:w="7201" w:type="dxa"/>
            <w:shd w:val="clear" w:color="auto" w:fill="E5DFEC" w:themeFill="accent4" w:themeFillTint="33"/>
          </w:tcPr>
          <w:p w:rsidR="004537C0" w:rsidRPr="00DE0CA0" w:rsidRDefault="004537C0" w:rsidP="004537C0">
            <w:pPr>
              <w:spacing w:before="120" w:after="120"/>
              <w:rPr>
                <w:rFonts w:cstheme="minorHAnsi"/>
                <w:sz w:val="24"/>
                <w:lang w:val="en-GB"/>
              </w:rPr>
            </w:pPr>
            <w:r w:rsidRPr="00DE0CA0">
              <w:rPr>
                <w:rFonts w:cstheme="minorHAnsi"/>
                <w:b/>
                <w:sz w:val="24"/>
                <w:lang w:val="en-GB"/>
              </w:rPr>
              <w:t>End of workshop</w:t>
            </w:r>
          </w:p>
        </w:tc>
      </w:tr>
    </w:tbl>
    <w:p w:rsidR="00FC449A" w:rsidRPr="00D43FFD" w:rsidRDefault="00FC449A" w:rsidP="0047011A">
      <w:pPr>
        <w:spacing w:before="240" w:after="240"/>
        <w:jc w:val="both"/>
        <w:rPr>
          <w:rFonts w:cstheme="minorHAnsi"/>
          <w:sz w:val="24"/>
          <w:lang w:val="en-GB"/>
        </w:rPr>
      </w:pPr>
    </w:p>
    <w:sectPr w:rsidR="00FC449A" w:rsidRPr="00D43FFD" w:rsidSect="008D1630">
      <w:headerReference w:type="default" r:id="rId8"/>
      <w:footerReference w:type="default" r:id="rId9"/>
      <w:pgSz w:w="11907" w:h="16839" w:code="9"/>
      <w:pgMar w:top="1843" w:right="1134" w:bottom="0" w:left="144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B35" w:rsidRDefault="00FD3B35" w:rsidP="00430027">
      <w:pPr>
        <w:spacing w:after="0" w:line="240" w:lineRule="auto"/>
      </w:pPr>
      <w:r>
        <w:separator/>
      </w:r>
    </w:p>
  </w:endnote>
  <w:endnote w:type="continuationSeparator" w:id="0">
    <w:p w:rsidR="00FD3B35" w:rsidRDefault="00FD3B35" w:rsidP="0043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906674729"/>
      <w:docPartObj>
        <w:docPartGallery w:val="Page Numbers (Bottom of Page)"/>
        <w:docPartUnique/>
      </w:docPartObj>
    </w:sdtPr>
    <w:sdtEndPr>
      <w:rPr>
        <w:sz w:val="22"/>
        <w:szCs w:val="22"/>
      </w:rPr>
    </w:sdtEndPr>
    <w:sdtContent>
      <w:sdt>
        <w:sdtPr>
          <w:rPr>
            <w:sz w:val="16"/>
            <w:szCs w:val="16"/>
          </w:rPr>
          <w:id w:val="1264885967"/>
          <w:docPartObj>
            <w:docPartGallery w:val="Page Numbers (Top of Page)"/>
            <w:docPartUnique/>
          </w:docPartObj>
        </w:sdtPr>
        <w:sdtEndPr>
          <w:rPr>
            <w:sz w:val="22"/>
            <w:szCs w:val="22"/>
          </w:rPr>
        </w:sdtEndPr>
        <w:sdtContent>
          <w:tbl>
            <w:tblPr>
              <w:tblStyle w:val="TableGrid"/>
              <w:tblW w:w="9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8"/>
              <w:gridCol w:w="3262"/>
              <w:gridCol w:w="3423"/>
            </w:tblGrid>
            <w:tr w:rsidR="00857309" w:rsidRPr="009B0901" w:rsidTr="00857309">
              <w:trPr>
                <w:trHeight w:val="142"/>
              </w:trPr>
              <w:tc>
                <w:tcPr>
                  <w:tcW w:w="2648" w:type="dxa"/>
                </w:tcPr>
                <w:p w:rsidR="00857309" w:rsidRPr="009B0901" w:rsidRDefault="00857309" w:rsidP="00857309">
                  <w:pPr>
                    <w:pStyle w:val="Footer"/>
                    <w:tabs>
                      <w:tab w:val="clear" w:pos="4703"/>
                      <w:tab w:val="clear" w:pos="9406"/>
                      <w:tab w:val="right" w:pos="2302"/>
                      <w:tab w:val="right" w:pos="2552"/>
                    </w:tabs>
                    <w:ind w:right="57"/>
                    <w:rPr>
                      <w:sz w:val="16"/>
                      <w:szCs w:val="16"/>
                    </w:rPr>
                  </w:pPr>
                </w:p>
              </w:tc>
              <w:tc>
                <w:tcPr>
                  <w:tcW w:w="3262" w:type="dxa"/>
                </w:tcPr>
                <w:p w:rsidR="00857309" w:rsidRPr="009B0901" w:rsidRDefault="00857309" w:rsidP="00F53084">
                  <w:pPr>
                    <w:pStyle w:val="Footer"/>
                    <w:tabs>
                      <w:tab w:val="clear" w:pos="4703"/>
                      <w:tab w:val="right" w:pos="9639"/>
                    </w:tabs>
                    <w:jc w:val="right"/>
                    <w:rPr>
                      <w:sz w:val="16"/>
                      <w:szCs w:val="16"/>
                    </w:rPr>
                  </w:pPr>
                </w:p>
              </w:tc>
              <w:tc>
                <w:tcPr>
                  <w:tcW w:w="3423" w:type="dxa"/>
                </w:tcPr>
                <w:p w:rsidR="00857309" w:rsidRPr="009B0901" w:rsidRDefault="00857309" w:rsidP="00F53084">
                  <w:pPr>
                    <w:pStyle w:val="Footer"/>
                    <w:tabs>
                      <w:tab w:val="clear" w:pos="4703"/>
                      <w:tab w:val="right" w:pos="9639"/>
                    </w:tabs>
                    <w:jc w:val="right"/>
                    <w:rPr>
                      <w:sz w:val="16"/>
                      <w:szCs w:val="16"/>
                    </w:rPr>
                  </w:pPr>
                </w:p>
              </w:tc>
            </w:tr>
            <w:tr w:rsidR="00857309" w:rsidRPr="009B0901" w:rsidTr="00857309">
              <w:trPr>
                <w:trHeight w:val="851"/>
              </w:trPr>
              <w:tc>
                <w:tcPr>
                  <w:tcW w:w="2648" w:type="dxa"/>
                </w:tcPr>
                <w:p w:rsidR="00857309" w:rsidRDefault="00857309" w:rsidP="00082BB1">
                  <w:pPr>
                    <w:pStyle w:val="Footer"/>
                    <w:tabs>
                      <w:tab w:val="clear" w:pos="4703"/>
                      <w:tab w:val="clear" w:pos="9406"/>
                      <w:tab w:val="right" w:pos="2302"/>
                      <w:tab w:val="right" w:pos="2552"/>
                    </w:tabs>
                    <w:ind w:right="119"/>
                    <w:rPr>
                      <w:sz w:val="18"/>
                      <w:szCs w:val="18"/>
                    </w:rPr>
                  </w:pPr>
                  <w:r>
                    <w:rPr>
                      <w:noProof/>
                      <w:sz w:val="18"/>
                      <w:szCs w:val="18"/>
                      <w:lang w:val="hr-HR" w:eastAsia="hr-HR"/>
                    </w:rPr>
                    <w:drawing>
                      <wp:anchor distT="0" distB="0" distL="114300" distR="114300" simplePos="0" relativeHeight="251665408" behindDoc="0" locked="0" layoutInCell="1" allowOverlap="1" wp14:anchorId="7B4ABC5E" wp14:editId="7D296665">
                        <wp:simplePos x="0" y="0"/>
                        <wp:positionH relativeFrom="column">
                          <wp:posOffset>5459730</wp:posOffset>
                        </wp:positionH>
                        <wp:positionV relativeFrom="paragraph">
                          <wp:posOffset>8353425</wp:posOffset>
                        </wp:positionV>
                        <wp:extent cx="916305" cy="52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val="hr-HR" w:eastAsia="hr-HR"/>
                    </w:rPr>
                    <w:drawing>
                      <wp:anchor distT="0" distB="0" distL="114300" distR="114300" simplePos="0" relativeHeight="251664384" behindDoc="0" locked="0" layoutInCell="1" allowOverlap="1" wp14:anchorId="384A2176" wp14:editId="0EF26D95">
                        <wp:simplePos x="0" y="0"/>
                        <wp:positionH relativeFrom="column">
                          <wp:posOffset>5459730</wp:posOffset>
                        </wp:positionH>
                        <wp:positionV relativeFrom="paragraph">
                          <wp:posOffset>8353425</wp:posOffset>
                        </wp:positionV>
                        <wp:extent cx="916305" cy="520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901">
                    <w:rPr>
                      <w:sz w:val="18"/>
                      <w:szCs w:val="18"/>
                    </w:rPr>
                    <w:t>Project implemented by</w:t>
                  </w:r>
                </w:p>
                <w:p w:rsidR="00857309" w:rsidRPr="009B0901" w:rsidRDefault="00857309" w:rsidP="00220CC8">
                  <w:pPr>
                    <w:pStyle w:val="Footer"/>
                    <w:tabs>
                      <w:tab w:val="clear" w:pos="4703"/>
                      <w:tab w:val="clear" w:pos="9406"/>
                      <w:tab w:val="right" w:pos="2302"/>
                      <w:tab w:val="right" w:pos="2552"/>
                    </w:tabs>
                    <w:ind w:right="119"/>
                    <w:rPr>
                      <w:sz w:val="20"/>
                    </w:rPr>
                  </w:pPr>
                  <w:r>
                    <w:rPr>
                      <w:noProof/>
                      <w:sz w:val="18"/>
                      <w:szCs w:val="18"/>
                    </w:rPr>
                    <w:t xml:space="preserve">            </w:t>
                  </w:r>
                  <w:r>
                    <w:rPr>
                      <w:noProof/>
                      <w:sz w:val="18"/>
                      <w:szCs w:val="18"/>
                      <w:lang w:val="hr-HR" w:eastAsia="hr-HR"/>
                    </w:rPr>
                    <w:drawing>
                      <wp:inline distT="0" distB="0" distL="0" distR="0" wp14:anchorId="0562AC13" wp14:editId="356FF832">
                        <wp:extent cx="666750" cy="3475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iz.jpg"/>
                                <pic:cNvPicPr/>
                              </pic:nvPicPr>
                              <pic:blipFill>
                                <a:blip r:embed="rId2">
                                  <a:extLst>
                                    <a:ext uri="{28A0092B-C50C-407E-A947-70E740481C1C}">
                                      <a14:useLocalDpi xmlns:a14="http://schemas.microsoft.com/office/drawing/2010/main" val="0"/>
                                    </a:ext>
                                  </a:extLst>
                                </a:blip>
                                <a:stretch>
                                  <a:fillRect/>
                                </a:stretch>
                              </pic:blipFill>
                              <pic:spPr>
                                <a:xfrm>
                                  <a:off x="0" y="0"/>
                                  <a:ext cx="682082" cy="355499"/>
                                </a:xfrm>
                                <a:prstGeom prst="rect">
                                  <a:avLst/>
                                </a:prstGeom>
                              </pic:spPr>
                            </pic:pic>
                          </a:graphicData>
                        </a:graphic>
                      </wp:inline>
                    </w:drawing>
                  </w:r>
                </w:p>
              </w:tc>
              <w:tc>
                <w:tcPr>
                  <w:tcW w:w="3262" w:type="dxa"/>
                </w:tcPr>
                <w:p w:rsidR="00857309" w:rsidRDefault="00857309" w:rsidP="00857309">
                  <w:pPr>
                    <w:pStyle w:val="Footer"/>
                    <w:tabs>
                      <w:tab w:val="clear" w:pos="4703"/>
                      <w:tab w:val="right" w:pos="9639"/>
                    </w:tabs>
                    <w:rPr>
                      <w:sz w:val="18"/>
                      <w:szCs w:val="18"/>
                    </w:rPr>
                  </w:pPr>
                  <w:r>
                    <w:rPr>
                      <w:sz w:val="18"/>
                      <w:szCs w:val="18"/>
                    </w:rPr>
                    <w:t>In Consortium with</w:t>
                  </w:r>
                </w:p>
                <w:p w:rsidR="00857309" w:rsidRPr="009B0901" w:rsidRDefault="00857309" w:rsidP="00857309">
                  <w:pPr>
                    <w:pStyle w:val="Footer"/>
                    <w:tabs>
                      <w:tab w:val="clear" w:pos="4703"/>
                      <w:tab w:val="right" w:pos="9639"/>
                    </w:tabs>
                    <w:rPr>
                      <w:sz w:val="18"/>
                      <w:szCs w:val="18"/>
                    </w:rPr>
                  </w:pPr>
                  <w:r>
                    <w:rPr>
                      <w:noProof/>
                    </w:rPr>
                    <w:t xml:space="preserve">    </w:t>
                  </w:r>
                  <w:r>
                    <w:rPr>
                      <w:noProof/>
                      <w:lang w:val="hr-HR" w:eastAsia="hr-HR"/>
                    </w:rPr>
                    <w:drawing>
                      <wp:inline distT="0" distB="0" distL="0" distR="0" wp14:anchorId="23915ED9" wp14:editId="1AF065A7">
                        <wp:extent cx="671195" cy="272768"/>
                        <wp:effectExtent l="0" t="0" r="0" b="0"/>
                        <wp:docPr id="6" name="Picture 2" descr="C:\Users\Mihailo UDOVICKI\AppData\Local\Microsoft\Windows\Temporary Internet Files\Content.Outlook\CCS5DA1V\KP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ihailo UDOVICKI\AppData\Local\Microsoft\Windows\Temporary Internet Files\Content.Outlook\CCS5DA1V\KPMG.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78148" cy="275594"/>
                                </a:xfrm>
                                <a:prstGeom prst="rect">
                                  <a:avLst/>
                                </a:prstGeom>
                                <a:noFill/>
                                <a:extLst/>
                              </pic:spPr>
                            </pic:pic>
                          </a:graphicData>
                        </a:graphic>
                      </wp:inline>
                    </w:drawing>
                  </w:r>
                </w:p>
              </w:tc>
              <w:tc>
                <w:tcPr>
                  <w:tcW w:w="3423" w:type="dxa"/>
                </w:tcPr>
                <w:p w:rsidR="00857309" w:rsidRPr="009B0901" w:rsidRDefault="00857309" w:rsidP="00857309">
                  <w:pPr>
                    <w:pStyle w:val="Footer"/>
                    <w:tabs>
                      <w:tab w:val="clear" w:pos="4703"/>
                      <w:tab w:val="left" w:pos="1000"/>
                      <w:tab w:val="right" w:pos="3207"/>
                      <w:tab w:val="right" w:pos="9639"/>
                    </w:tabs>
                    <w:spacing w:after="120"/>
                    <w:rPr>
                      <w:sz w:val="20"/>
                      <w:szCs w:val="20"/>
                    </w:rPr>
                  </w:pPr>
                </w:p>
              </w:tc>
            </w:tr>
          </w:tbl>
          <w:p w:rsidR="004838EC" w:rsidRPr="009B0901" w:rsidRDefault="00FD3B35" w:rsidP="00362912">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B35" w:rsidRDefault="00FD3B35" w:rsidP="00430027">
      <w:pPr>
        <w:spacing w:after="0" w:line="240" w:lineRule="auto"/>
      </w:pPr>
      <w:r>
        <w:separator/>
      </w:r>
    </w:p>
  </w:footnote>
  <w:footnote w:type="continuationSeparator" w:id="0">
    <w:p w:rsidR="00FD3B35" w:rsidRDefault="00FD3B35" w:rsidP="00430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CA8" w:rsidRPr="006A5DE4" w:rsidRDefault="00557D98" w:rsidP="009B052E">
    <w:pPr>
      <w:pStyle w:val="Header"/>
      <w:tabs>
        <w:tab w:val="clear" w:pos="4703"/>
        <w:tab w:val="clear" w:pos="9406"/>
        <w:tab w:val="left" w:pos="1950"/>
      </w:tabs>
      <w:rPr>
        <w:sz w:val="16"/>
        <w:szCs w:val="16"/>
      </w:rPr>
    </w:pPr>
    <w:r>
      <w:rPr>
        <w:noProof/>
        <w:lang w:val="hr-HR" w:eastAsia="hr-HR"/>
      </w:rPr>
      <w:drawing>
        <wp:inline distT="0" distB="0" distL="0" distR="0" wp14:anchorId="056E7719" wp14:editId="79DBAB62">
          <wp:extent cx="5737860" cy="998220"/>
          <wp:effectExtent l="0" t="0" r="0" b="0"/>
          <wp:docPr id="7" name="Picture 7">
            <a:extLst xmlns:a="http://schemas.openxmlformats.org/drawingml/2006/main">
              <a:ext uri="{FF2B5EF4-FFF2-40B4-BE49-F238E27FC236}">
                <a16:creationId xmlns:a16="http://schemas.microsoft.com/office/drawing/2014/main" id="{8D362E7F-5674-477F-83FA-BFBFE968B417}"/>
              </a:ext>
            </a:extLst>
          </wp:docPr>
          <wp:cNvGraphicFramePr/>
          <a:graphic xmlns:a="http://schemas.openxmlformats.org/drawingml/2006/main">
            <a:graphicData uri="http://schemas.openxmlformats.org/drawingml/2006/picture">
              <pic:pic xmlns:pic="http://schemas.openxmlformats.org/drawingml/2006/picture">
                <pic:nvPicPr>
                  <pic:cNvPr id="7" name="Picture 7">
                    <a:extLst>
                      <a:ext uri="{FF2B5EF4-FFF2-40B4-BE49-F238E27FC236}">
                        <a16:creationId xmlns:a16="http://schemas.microsoft.com/office/drawing/2014/main" id="{8D362E7F-5674-477F-83FA-BFBFE968B417}"/>
                      </a:ext>
                    </a:extLst>
                  </pic:cNvPr>
                  <pic:cNvPicPr/>
                </pic:nvPicPr>
                <pic:blipFill>
                  <a:blip r:embed="rId1">
                    <a:extLst>
                      <a:ext uri="{28A0092B-C50C-407E-A947-70E740481C1C}">
                        <a14:useLocalDpi xmlns:a14="http://schemas.microsoft.com/office/drawing/2010/main" val="0"/>
                      </a:ext>
                    </a:extLst>
                  </a:blip>
                  <a:srcRect l="964"/>
                  <a:stretch>
                    <a:fillRect/>
                  </a:stretch>
                </pic:blipFill>
                <pic:spPr bwMode="auto">
                  <a:xfrm>
                    <a:off x="0" y="0"/>
                    <a:ext cx="5737860" cy="998220"/>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ABA"/>
    <w:multiLevelType w:val="hybridMultilevel"/>
    <w:tmpl w:val="B12C5570"/>
    <w:lvl w:ilvl="0" w:tplc="0409000D">
      <w:start w:val="1"/>
      <w:numFmt w:val="bullet"/>
      <w:lvlText w:val=""/>
      <w:lvlJc w:val="left"/>
      <w:pPr>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F4699A"/>
    <w:multiLevelType w:val="hybridMultilevel"/>
    <w:tmpl w:val="32AA00BE"/>
    <w:lvl w:ilvl="0" w:tplc="041A000D">
      <w:start w:val="1"/>
      <w:numFmt w:val="bullet"/>
      <w:lvlText w:val=""/>
      <w:lvlJc w:val="left"/>
      <w:pPr>
        <w:ind w:left="2484" w:hanging="360"/>
      </w:pPr>
      <w:rPr>
        <w:rFonts w:ascii="Wingdings" w:hAnsi="Wingdings"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2" w15:restartNumberingAfterBreak="0">
    <w:nsid w:val="194068CC"/>
    <w:multiLevelType w:val="hybridMultilevel"/>
    <w:tmpl w:val="3C68F658"/>
    <w:lvl w:ilvl="0" w:tplc="0809000D">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A7A01F7"/>
    <w:multiLevelType w:val="hybridMultilevel"/>
    <w:tmpl w:val="03D2FEE2"/>
    <w:lvl w:ilvl="0" w:tplc="041A000D">
      <w:start w:val="1"/>
      <w:numFmt w:val="bullet"/>
      <w:lvlText w:val=""/>
      <w:lvlJc w:val="left"/>
      <w:pPr>
        <w:ind w:left="2484" w:hanging="360"/>
      </w:pPr>
      <w:rPr>
        <w:rFonts w:ascii="Wingdings" w:hAnsi="Wingdings"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4" w15:restartNumberingAfterBreak="0">
    <w:nsid w:val="26205354"/>
    <w:multiLevelType w:val="hybridMultilevel"/>
    <w:tmpl w:val="E81862D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D">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3A3B96"/>
    <w:multiLevelType w:val="hybridMultilevel"/>
    <w:tmpl w:val="311C5F2C"/>
    <w:lvl w:ilvl="0" w:tplc="0809000D">
      <w:start w:val="1"/>
      <w:numFmt w:val="bullet"/>
      <w:lvlText w:val=""/>
      <w:lvlJc w:val="left"/>
      <w:pPr>
        <w:ind w:left="2484" w:hanging="360"/>
      </w:pPr>
      <w:rPr>
        <w:rFonts w:ascii="Wingdings" w:hAnsi="Wingdings"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6" w15:restartNumberingAfterBreak="0">
    <w:nsid w:val="485A6FC1"/>
    <w:multiLevelType w:val="multilevel"/>
    <w:tmpl w:val="5380C5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0550F47"/>
    <w:multiLevelType w:val="hybridMultilevel"/>
    <w:tmpl w:val="7DCED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01392"/>
    <w:multiLevelType w:val="hybridMultilevel"/>
    <w:tmpl w:val="E8768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A95DE1"/>
    <w:multiLevelType w:val="hybridMultilevel"/>
    <w:tmpl w:val="7974B7D8"/>
    <w:lvl w:ilvl="0" w:tplc="041A000D">
      <w:start w:val="1"/>
      <w:numFmt w:val="bullet"/>
      <w:lvlText w:val=""/>
      <w:lvlJc w:val="left"/>
      <w:pPr>
        <w:ind w:left="2844" w:hanging="360"/>
      </w:pPr>
      <w:rPr>
        <w:rFonts w:ascii="Wingdings" w:hAnsi="Wingdings" w:hint="default"/>
      </w:rPr>
    </w:lvl>
    <w:lvl w:ilvl="1" w:tplc="041A0003" w:tentative="1">
      <w:start w:val="1"/>
      <w:numFmt w:val="bullet"/>
      <w:lvlText w:val="o"/>
      <w:lvlJc w:val="left"/>
      <w:pPr>
        <w:ind w:left="3564" w:hanging="360"/>
      </w:pPr>
      <w:rPr>
        <w:rFonts w:ascii="Courier New" w:hAnsi="Courier New" w:cs="Courier New" w:hint="default"/>
      </w:rPr>
    </w:lvl>
    <w:lvl w:ilvl="2" w:tplc="041A0005" w:tentative="1">
      <w:start w:val="1"/>
      <w:numFmt w:val="bullet"/>
      <w:lvlText w:val=""/>
      <w:lvlJc w:val="left"/>
      <w:pPr>
        <w:ind w:left="4284" w:hanging="360"/>
      </w:pPr>
      <w:rPr>
        <w:rFonts w:ascii="Wingdings" w:hAnsi="Wingdings" w:hint="default"/>
      </w:rPr>
    </w:lvl>
    <w:lvl w:ilvl="3" w:tplc="041A0001" w:tentative="1">
      <w:start w:val="1"/>
      <w:numFmt w:val="bullet"/>
      <w:lvlText w:val=""/>
      <w:lvlJc w:val="left"/>
      <w:pPr>
        <w:ind w:left="5004" w:hanging="360"/>
      </w:pPr>
      <w:rPr>
        <w:rFonts w:ascii="Symbol" w:hAnsi="Symbol" w:hint="default"/>
      </w:rPr>
    </w:lvl>
    <w:lvl w:ilvl="4" w:tplc="041A0003" w:tentative="1">
      <w:start w:val="1"/>
      <w:numFmt w:val="bullet"/>
      <w:lvlText w:val="o"/>
      <w:lvlJc w:val="left"/>
      <w:pPr>
        <w:ind w:left="5724" w:hanging="360"/>
      </w:pPr>
      <w:rPr>
        <w:rFonts w:ascii="Courier New" w:hAnsi="Courier New" w:cs="Courier New" w:hint="default"/>
      </w:rPr>
    </w:lvl>
    <w:lvl w:ilvl="5" w:tplc="041A0005" w:tentative="1">
      <w:start w:val="1"/>
      <w:numFmt w:val="bullet"/>
      <w:lvlText w:val=""/>
      <w:lvlJc w:val="left"/>
      <w:pPr>
        <w:ind w:left="6444" w:hanging="360"/>
      </w:pPr>
      <w:rPr>
        <w:rFonts w:ascii="Wingdings" w:hAnsi="Wingdings" w:hint="default"/>
      </w:rPr>
    </w:lvl>
    <w:lvl w:ilvl="6" w:tplc="041A0001" w:tentative="1">
      <w:start w:val="1"/>
      <w:numFmt w:val="bullet"/>
      <w:lvlText w:val=""/>
      <w:lvlJc w:val="left"/>
      <w:pPr>
        <w:ind w:left="7164" w:hanging="360"/>
      </w:pPr>
      <w:rPr>
        <w:rFonts w:ascii="Symbol" w:hAnsi="Symbol" w:hint="default"/>
      </w:rPr>
    </w:lvl>
    <w:lvl w:ilvl="7" w:tplc="041A0003" w:tentative="1">
      <w:start w:val="1"/>
      <w:numFmt w:val="bullet"/>
      <w:lvlText w:val="o"/>
      <w:lvlJc w:val="left"/>
      <w:pPr>
        <w:ind w:left="7884" w:hanging="360"/>
      </w:pPr>
      <w:rPr>
        <w:rFonts w:ascii="Courier New" w:hAnsi="Courier New" w:cs="Courier New" w:hint="default"/>
      </w:rPr>
    </w:lvl>
    <w:lvl w:ilvl="8" w:tplc="041A0005" w:tentative="1">
      <w:start w:val="1"/>
      <w:numFmt w:val="bullet"/>
      <w:lvlText w:val=""/>
      <w:lvlJc w:val="left"/>
      <w:pPr>
        <w:ind w:left="8604" w:hanging="360"/>
      </w:pPr>
      <w:rPr>
        <w:rFonts w:ascii="Wingdings" w:hAnsi="Wingdings" w:hint="default"/>
      </w:rPr>
    </w:lvl>
  </w:abstractNum>
  <w:abstractNum w:abstractNumId="10" w15:restartNumberingAfterBreak="0">
    <w:nsid w:val="62E1236F"/>
    <w:multiLevelType w:val="hybridMultilevel"/>
    <w:tmpl w:val="16AE6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5F4399"/>
    <w:multiLevelType w:val="hybridMultilevel"/>
    <w:tmpl w:val="0D8ABAC0"/>
    <w:lvl w:ilvl="0" w:tplc="0809000D">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699837A7"/>
    <w:multiLevelType w:val="hybridMultilevel"/>
    <w:tmpl w:val="65D2B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C4828"/>
    <w:multiLevelType w:val="hybridMultilevel"/>
    <w:tmpl w:val="B52ABF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16183"/>
    <w:multiLevelType w:val="hybridMultilevel"/>
    <w:tmpl w:val="5D04CA08"/>
    <w:lvl w:ilvl="0" w:tplc="041A000D">
      <w:start w:val="1"/>
      <w:numFmt w:val="bullet"/>
      <w:lvlText w:val=""/>
      <w:lvlJc w:val="left"/>
      <w:pPr>
        <w:ind w:left="3204" w:hanging="360"/>
      </w:pPr>
      <w:rPr>
        <w:rFonts w:ascii="Wingdings" w:hAnsi="Wingdings" w:hint="default"/>
      </w:rPr>
    </w:lvl>
    <w:lvl w:ilvl="1" w:tplc="041A0003" w:tentative="1">
      <w:start w:val="1"/>
      <w:numFmt w:val="bullet"/>
      <w:lvlText w:val="o"/>
      <w:lvlJc w:val="left"/>
      <w:pPr>
        <w:ind w:left="3924" w:hanging="360"/>
      </w:pPr>
      <w:rPr>
        <w:rFonts w:ascii="Courier New" w:hAnsi="Courier New" w:cs="Courier New" w:hint="default"/>
      </w:rPr>
    </w:lvl>
    <w:lvl w:ilvl="2" w:tplc="041A0005" w:tentative="1">
      <w:start w:val="1"/>
      <w:numFmt w:val="bullet"/>
      <w:lvlText w:val=""/>
      <w:lvlJc w:val="left"/>
      <w:pPr>
        <w:ind w:left="4644" w:hanging="360"/>
      </w:pPr>
      <w:rPr>
        <w:rFonts w:ascii="Wingdings" w:hAnsi="Wingdings" w:hint="default"/>
      </w:rPr>
    </w:lvl>
    <w:lvl w:ilvl="3" w:tplc="041A0001" w:tentative="1">
      <w:start w:val="1"/>
      <w:numFmt w:val="bullet"/>
      <w:lvlText w:val=""/>
      <w:lvlJc w:val="left"/>
      <w:pPr>
        <w:ind w:left="5364" w:hanging="360"/>
      </w:pPr>
      <w:rPr>
        <w:rFonts w:ascii="Symbol" w:hAnsi="Symbol" w:hint="default"/>
      </w:rPr>
    </w:lvl>
    <w:lvl w:ilvl="4" w:tplc="041A0003" w:tentative="1">
      <w:start w:val="1"/>
      <w:numFmt w:val="bullet"/>
      <w:lvlText w:val="o"/>
      <w:lvlJc w:val="left"/>
      <w:pPr>
        <w:ind w:left="6084" w:hanging="360"/>
      </w:pPr>
      <w:rPr>
        <w:rFonts w:ascii="Courier New" w:hAnsi="Courier New" w:cs="Courier New" w:hint="default"/>
      </w:rPr>
    </w:lvl>
    <w:lvl w:ilvl="5" w:tplc="041A0005" w:tentative="1">
      <w:start w:val="1"/>
      <w:numFmt w:val="bullet"/>
      <w:lvlText w:val=""/>
      <w:lvlJc w:val="left"/>
      <w:pPr>
        <w:ind w:left="6804" w:hanging="360"/>
      </w:pPr>
      <w:rPr>
        <w:rFonts w:ascii="Wingdings" w:hAnsi="Wingdings" w:hint="default"/>
      </w:rPr>
    </w:lvl>
    <w:lvl w:ilvl="6" w:tplc="041A0001" w:tentative="1">
      <w:start w:val="1"/>
      <w:numFmt w:val="bullet"/>
      <w:lvlText w:val=""/>
      <w:lvlJc w:val="left"/>
      <w:pPr>
        <w:ind w:left="7524" w:hanging="360"/>
      </w:pPr>
      <w:rPr>
        <w:rFonts w:ascii="Symbol" w:hAnsi="Symbol" w:hint="default"/>
      </w:rPr>
    </w:lvl>
    <w:lvl w:ilvl="7" w:tplc="041A0003" w:tentative="1">
      <w:start w:val="1"/>
      <w:numFmt w:val="bullet"/>
      <w:lvlText w:val="o"/>
      <w:lvlJc w:val="left"/>
      <w:pPr>
        <w:ind w:left="8244" w:hanging="360"/>
      </w:pPr>
      <w:rPr>
        <w:rFonts w:ascii="Courier New" w:hAnsi="Courier New" w:cs="Courier New" w:hint="default"/>
      </w:rPr>
    </w:lvl>
    <w:lvl w:ilvl="8" w:tplc="041A0005" w:tentative="1">
      <w:start w:val="1"/>
      <w:numFmt w:val="bullet"/>
      <w:lvlText w:val=""/>
      <w:lvlJc w:val="left"/>
      <w:pPr>
        <w:ind w:left="8964" w:hanging="360"/>
      </w:pPr>
      <w:rPr>
        <w:rFonts w:ascii="Wingdings" w:hAnsi="Wingdings" w:hint="default"/>
      </w:rPr>
    </w:lvl>
  </w:abstractNum>
  <w:abstractNum w:abstractNumId="15" w15:restartNumberingAfterBreak="0">
    <w:nsid w:val="7BE561FE"/>
    <w:multiLevelType w:val="hybridMultilevel"/>
    <w:tmpl w:val="14FEC394"/>
    <w:lvl w:ilvl="0" w:tplc="5DBC4EB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7EAB469C"/>
    <w:multiLevelType w:val="hybridMultilevel"/>
    <w:tmpl w:val="FF3EB0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D">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15"/>
  </w:num>
  <w:num w:numId="5">
    <w:abstractNumId w:val="4"/>
  </w:num>
  <w:num w:numId="6">
    <w:abstractNumId w:val="2"/>
  </w:num>
  <w:num w:numId="7">
    <w:abstractNumId w:val="16"/>
  </w:num>
  <w:num w:numId="8">
    <w:abstractNumId w:val="5"/>
  </w:num>
  <w:num w:numId="9">
    <w:abstractNumId w:val="11"/>
  </w:num>
  <w:num w:numId="10">
    <w:abstractNumId w:val="10"/>
  </w:num>
  <w:num w:numId="11">
    <w:abstractNumId w:val="14"/>
  </w:num>
  <w:num w:numId="12">
    <w:abstractNumId w:val="1"/>
  </w:num>
  <w:num w:numId="13">
    <w:abstractNumId w:val="9"/>
  </w:num>
  <w:num w:numId="14">
    <w:abstractNumId w:val="3"/>
  </w:num>
  <w:num w:numId="15">
    <w:abstractNumId w:val="0"/>
  </w:num>
  <w:num w:numId="16">
    <w:abstractNumId w:val="7"/>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027"/>
    <w:rsid w:val="00012E1A"/>
    <w:rsid w:val="00013E19"/>
    <w:rsid w:val="000169C8"/>
    <w:rsid w:val="000223EB"/>
    <w:rsid w:val="00026206"/>
    <w:rsid w:val="00036D2C"/>
    <w:rsid w:val="00036D47"/>
    <w:rsid w:val="00047357"/>
    <w:rsid w:val="00052D6E"/>
    <w:rsid w:val="00055706"/>
    <w:rsid w:val="00080C67"/>
    <w:rsid w:val="00082BB1"/>
    <w:rsid w:val="000844E9"/>
    <w:rsid w:val="000A3A5D"/>
    <w:rsid w:val="000C525D"/>
    <w:rsid w:val="000D10EA"/>
    <w:rsid w:val="00103CEB"/>
    <w:rsid w:val="00111BA1"/>
    <w:rsid w:val="0012247E"/>
    <w:rsid w:val="00131370"/>
    <w:rsid w:val="001637BD"/>
    <w:rsid w:val="001728A0"/>
    <w:rsid w:val="001748CD"/>
    <w:rsid w:val="00174FB6"/>
    <w:rsid w:val="001771BF"/>
    <w:rsid w:val="00197E18"/>
    <w:rsid w:val="001A1A51"/>
    <w:rsid w:val="001C7926"/>
    <w:rsid w:val="001F7FE1"/>
    <w:rsid w:val="00205310"/>
    <w:rsid w:val="00220158"/>
    <w:rsid w:val="00220CC8"/>
    <w:rsid w:val="0023365F"/>
    <w:rsid w:val="0023506D"/>
    <w:rsid w:val="00242EED"/>
    <w:rsid w:val="00276498"/>
    <w:rsid w:val="00282AA2"/>
    <w:rsid w:val="002B7B14"/>
    <w:rsid w:val="002C03C6"/>
    <w:rsid w:val="00347042"/>
    <w:rsid w:val="00361DC3"/>
    <w:rsid w:val="00362912"/>
    <w:rsid w:val="00387578"/>
    <w:rsid w:val="003A445C"/>
    <w:rsid w:val="003A6994"/>
    <w:rsid w:val="003B6904"/>
    <w:rsid w:val="003C7297"/>
    <w:rsid w:val="003E137B"/>
    <w:rsid w:val="00416E8B"/>
    <w:rsid w:val="00417988"/>
    <w:rsid w:val="00430027"/>
    <w:rsid w:val="00435CD6"/>
    <w:rsid w:val="00437B16"/>
    <w:rsid w:val="004537C0"/>
    <w:rsid w:val="00455EC3"/>
    <w:rsid w:val="004653D8"/>
    <w:rsid w:val="0047011A"/>
    <w:rsid w:val="0047136E"/>
    <w:rsid w:val="00471E82"/>
    <w:rsid w:val="00473642"/>
    <w:rsid w:val="004838EC"/>
    <w:rsid w:val="00485146"/>
    <w:rsid w:val="00491BE4"/>
    <w:rsid w:val="00493978"/>
    <w:rsid w:val="0049577A"/>
    <w:rsid w:val="004A34AF"/>
    <w:rsid w:val="004C0D1E"/>
    <w:rsid w:val="004C25AA"/>
    <w:rsid w:val="004D6A5D"/>
    <w:rsid w:val="0050545F"/>
    <w:rsid w:val="00511FE3"/>
    <w:rsid w:val="00513181"/>
    <w:rsid w:val="00514A7F"/>
    <w:rsid w:val="00526251"/>
    <w:rsid w:val="00546484"/>
    <w:rsid w:val="00557D98"/>
    <w:rsid w:val="005625C4"/>
    <w:rsid w:val="00581910"/>
    <w:rsid w:val="00582037"/>
    <w:rsid w:val="00587E66"/>
    <w:rsid w:val="005901EE"/>
    <w:rsid w:val="005927BD"/>
    <w:rsid w:val="00594ADD"/>
    <w:rsid w:val="005951A8"/>
    <w:rsid w:val="005C29CB"/>
    <w:rsid w:val="005C3195"/>
    <w:rsid w:val="00620C22"/>
    <w:rsid w:val="006262BB"/>
    <w:rsid w:val="0064013E"/>
    <w:rsid w:val="00644C76"/>
    <w:rsid w:val="00653049"/>
    <w:rsid w:val="00661DCC"/>
    <w:rsid w:val="0067079D"/>
    <w:rsid w:val="00676229"/>
    <w:rsid w:val="006945DF"/>
    <w:rsid w:val="006A2517"/>
    <w:rsid w:val="006A5DE4"/>
    <w:rsid w:val="006D29F2"/>
    <w:rsid w:val="006E05B2"/>
    <w:rsid w:val="006F665E"/>
    <w:rsid w:val="007012DC"/>
    <w:rsid w:val="00707E46"/>
    <w:rsid w:val="0071220F"/>
    <w:rsid w:val="00712335"/>
    <w:rsid w:val="0072088D"/>
    <w:rsid w:val="00721B84"/>
    <w:rsid w:val="00727BAD"/>
    <w:rsid w:val="00740194"/>
    <w:rsid w:val="00780E14"/>
    <w:rsid w:val="00780F34"/>
    <w:rsid w:val="00784098"/>
    <w:rsid w:val="00784470"/>
    <w:rsid w:val="00786FE1"/>
    <w:rsid w:val="0079393E"/>
    <w:rsid w:val="007977FB"/>
    <w:rsid w:val="007B1EDB"/>
    <w:rsid w:val="007B4B02"/>
    <w:rsid w:val="007C0AAD"/>
    <w:rsid w:val="007C1E79"/>
    <w:rsid w:val="007E47A1"/>
    <w:rsid w:val="007E682C"/>
    <w:rsid w:val="007F66A4"/>
    <w:rsid w:val="0080141A"/>
    <w:rsid w:val="00814406"/>
    <w:rsid w:val="00817B46"/>
    <w:rsid w:val="00830353"/>
    <w:rsid w:val="00834175"/>
    <w:rsid w:val="00834AA5"/>
    <w:rsid w:val="008361BA"/>
    <w:rsid w:val="00837C27"/>
    <w:rsid w:val="008421E6"/>
    <w:rsid w:val="00857309"/>
    <w:rsid w:val="00864EAB"/>
    <w:rsid w:val="00886576"/>
    <w:rsid w:val="00887CA8"/>
    <w:rsid w:val="00894BAA"/>
    <w:rsid w:val="008A7CFD"/>
    <w:rsid w:val="008C1679"/>
    <w:rsid w:val="008D0E90"/>
    <w:rsid w:val="008D1630"/>
    <w:rsid w:val="008D42AE"/>
    <w:rsid w:val="008E3EDB"/>
    <w:rsid w:val="008F02EE"/>
    <w:rsid w:val="008F5F1E"/>
    <w:rsid w:val="00902549"/>
    <w:rsid w:val="00902BB6"/>
    <w:rsid w:val="009156FD"/>
    <w:rsid w:val="00922B95"/>
    <w:rsid w:val="00925DD8"/>
    <w:rsid w:val="00944549"/>
    <w:rsid w:val="00947709"/>
    <w:rsid w:val="009524E9"/>
    <w:rsid w:val="00952F9B"/>
    <w:rsid w:val="009609AE"/>
    <w:rsid w:val="00962150"/>
    <w:rsid w:val="00964F64"/>
    <w:rsid w:val="00965E0B"/>
    <w:rsid w:val="00966929"/>
    <w:rsid w:val="009756CE"/>
    <w:rsid w:val="00997A63"/>
    <w:rsid w:val="009A0E4F"/>
    <w:rsid w:val="009B052E"/>
    <w:rsid w:val="009B0901"/>
    <w:rsid w:val="009B32C6"/>
    <w:rsid w:val="009B33E3"/>
    <w:rsid w:val="009D039A"/>
    <w:rsid w:val="009E5038"/>
    <w:rsid w:val="009F25F6"/>
    <w:rsid w:val="009F6DD8"/>
    <w:rsid w:val="00A14DF9"/>
    <w:rsid w:val="00A174AE"/>
    <w:rsid w:val="00A54B0B"/>
    <w:rsid w:val="00A5678B"/>
    <w:rsid w:val="00A62DA7"/>
    <w:rsid w:val="00A62FD0"/>
    <w:rsid w:val="00A7340D"/>
    <w:rsid w:val="00A737D5"/>
    <w:rsid w:val="00A91D59"/>
    <w:rsid w:val="00A92E3F"/>
    <w:rsid w:val="00A95DBB"/>
    <w:rsid w:val="00AE3877"/>
    <w:rsid w:val="00AF46F2"/>
    <w:rsid w:val="00B136FC"/>
    <w:rsid w:val="00B25D86"/>
    <w:rsid w:val="00B3386E"/>
    <w:rsid w:val="00B52F60"/>
    <w:rsid w:val="00B57EE5"/>
    <w:rsid w:val="00B6369F"/>
    <w:rsid w:val="00B83B79"/>
    <w:rsid w:val="00B90413"/>
    <w:rsid w:val="00BA23BB"/>
    <w:rsid w:val="00BA4439"/>
    <w:rsid w:val="00BA560E"/>
    <w:rsid w:val="00BB1ABC"/>
    <w:rsid w:val="00BB4574"/>
    <w:rsid w:val="00BC29F9"/>
    <w:rsid w:val="00BD404A"/>
    <w:rsid w:val="00BE516B"/>
    <w:rsid w:val="00C16DBF"/>
    <w:rsid w:val="00C70A36"/>
    <w:rsid w:val="00C74798"/>
    <w:rsid w:val="00C90EE3"/>
    <w:rsid w:val="00CA6A94"/>
    <w:rsid w:val="00CB1AC2"/>
    <w:rsid w:val="00CB7E4A"/>
    <w:rsid w:val="00CC0395"/>
    <w:rsid w:val="00CC5543"/>
    <w:rsid w:val="00CF0DC0"/>
    <w:rsid w:val="00D1030D"/>
    <w:rsid w:val="00D15621"/>
    <w:rsid w:val="00D16292"/>
    <w:rsid w:val="00D23C16"/>
    <w:rsid w:val="00D25762"/>
    <w:rsid w:val="00D43FFD"/>
    <w:rsid w:val="00D50911"/>
    <w:rsid w:val="00D51CF6"/>
    <w:rsid w:val="00D66CF5"/>
    <w:rsid w:val="00D73A9E"/>
    <w:rsid w:val="00D74F6A"/>
    <w:rsid w:val="00D830DD"/>
    <w:rsid w:val="00DA0E26"/>
    <w:rsid w:val="00DA12EC"/>
    <w:rsid w:val="00DB015D"/>
    <w:rsid w:val="00DD378D"/>
    <w:rsid w:val="00DD5F4D"/>
    <w:rsid w:val="00DE0CA0"/>
    <w:rsid w:val="00DE2B16"/>
    <w:rsid w:val="00DF45D0"/>
    <w:rsid w:val="00DF65C4"/>
    <w:rsid w:val="00E00B09"/>
    <w:rsid w:val="00E07639"/>
    <w:rsid w:val="00E10393"/>
    <w:rsid w:val="00E16C63"/>
    <w:rsid w:val="00E374FD"/>
    <w:rsid w:val="00E452B0"/>
    <w:rsid w:val="00E70DBD"/>
    <w:rsid w:val="00E87EE3"/>
    <w:rsid w:val="00EA6FAF"/>
    <w:rsid w:val="00EC13FC"/>
    <w:rsid w:val="00ED6804"/>
    <w:rsid w:val="00EE23A4"/>
    <w:rsid w:val="00EF3B33"/>
    <w:rsid w:val="00F07492"/>
    <w:rsid w:val="00F11ED1"/>
    <w:rsid w:val="00F12990"/>
    <w:rsid w:val="00F13A75"/>
    <w:rsid w:val="00F17628"/>
    <w:rsid w:val="00F17D81"/>
    <w:rsid w:val="00F211EC"/>
    <w:rsid w:val="00F3245A"/>
    <w:rsid w:val="00F53084"/>
    <w:rsid w:val="00F8658D"/>
    <w:rsid w:val="00FA5EDE"/>
    <w:rsid w:val="00FA64FA"/>
    <w:rsid w:val="00FA7509"/>
    <w:rsid w:val="00FB00F3"/>
    <w:rsid w:val="00FC449A"/>
    <w:rsid w:val="00FD3B35"/>
    <w:rsid w:val="00FE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18EBE"/>
  <w15:docId w15:val="{F1EF6D6C-EB64-4BAC-8705-EF0E2FBB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027"/>
    <w:pPr>
      <w:tabs>
        <w:tab w:val="center" w:pos="4703"/>
        <w:tab w:val="right" w:pos="9406"/>
      </w:tabs>
      <w:spacing w:after="0" w:line="240" w:lineRule="auto"/>
    </w:pPr>
  </w:style>
  <w:style w:type="character" w:customStyle="1" w:styleId="HeaderChar">
    <w:name w:val="Header Char"/>
    <w:basedOn w:val="DefaultParagraphFont"/>
    <w:link w:val="Header"/>
    <w:uiPriority w:val="99"/>
    <w:rsid w:val="00430027"/>
  </w:style>
  <w:style w:type="paragraph" w:styleId="Footer">
    <w:name w:val="footer"/>
    <w:basedOn w:val="Normal"/>
    <w:link w:val="FooterChar"/>
    <w:uiPriority w:val="99"/>
    <w:unhideWhenUsed/>
    <w:rsid w:val="00430027"/>
    <w:pPr>
      <w:tabs>
        <w:tab w:val="center" w:pos="4703"/>
        <w:tab w:val="right" w:pos="9406"/>
      </w:tabs>
      <w:spacing w:after="0" w:line="240" w:lineRule="auto"/>
    </w:pPr>
  </w:style>
  <w:style w:type="character" w:customStyle="1" w:styleId="FooterChar">
    <w:name w:val="Footer Char"/>
    <w:basedOn w:val="DefaultParagraphFont"/>
    <w:link w:val="Footer"/>
    <w:uiPriority w:val="99"/>
    <w:rsid w:val="00430027"/>
  </w:style>
  <w:style w:type="table" w:styleId="TableGrid">
    <w:name w:val="Table Grid"/>
    <w:basedOn w:val="TableNormal"/>
    <w:uiPriority w:val="59"/>
    <w:rsid w:val="0043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27"/>
    <w:rPr>
      <w:rFonts w:ascii="Tahoma" w:hAnsi="Tahoma" w:cs="Tahoma"/>
      <w:sz w:val="16"/>
      <w:szCs w:val="16"/>
    </w:rPr>
  </w:style>
  <w:style w:type="table" w:customStyle="1" w:styleId="TableGrid1">
    <w:name w:val="Table Grid1"/>
    <w:basedOn w:val="TableNormal"/>
    <w:next w:val="TableGrid"/>
    <w:uiPriority w:val="59"/>
    <w:rsid w:val="0049577A"/>
    <w:pPr>
      <w:spacing w:after="0" w:line="240" w:lineRule="auto"/>
    </w:pPr>
    <w:rPr>
      <w:rFonts w:ascii="Calibri" w:eastAsia="Calibri" w:hAnsi="Calibri" w:cs="Arial"/>
      <w:sz w:val="20"/>
      <w:szCs w:val="20"/>
      <w:lang w:val="en-GB" w:eastAsia="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DP DOCUMENT SUBTITLE,Paragraphe de liste PBLH,Table of contents numbered,Lapis Bulleted List,List Paragraph (numbered (a)),Bullet Points,Liste Paragraf,Liststycke SKL,Normal bullet 2,Bullet list,En tête 1,içindekiler vb"/>
    <w:basedOn w:val="Normal"/>
    <w:link w:val="ListParagraphChar"/>
    <w:uiPriority w:val="34"/>
    <w:qFormat/>
    <w:rsid w:val="00082BB1"/>
    <w:pPr>
      <w:spacing w:after="0" w:line="240" w:lineRule="auto"/>
      <w:ind w:left="720"/>
    </w:pPr>
    <w:rPr>
      <w:rFonts w:ascii="Calibri" w:eastAsia="Calibri" w:hAnsi="Calibri" w:cs="Times New Roman"/>
      <w:lang w:val="en-IE" w:eastAsia="en-IE"/>
    </w:rPr>
  </w:style>
  <w:style w:type="character" w:customStyle="1" w:styleId="ListParagraphChar">
    <w:name w:val="List Paragraph Char"/>
    <w:aliases w:val="PDP DOCUMENT SUBTITLE Char,Paragraphe de liste PBLH Char,Table of contents numbered Char,Lapis Bulleted List Char,List Paragraph (numbered (a)) Char,Bullet Points Char,Liste Paragraf Char,Liststycke SKL Char,Normal bullet 2 Char"/>
    <w:link w:val="ListParagraph"/>
    <w:uiPriority w:val="34"/>
    <w:rsid w:val="00082BB1"/>
    <w:rPr>
      <w:rFonts w:ascii="Calibri" w:eastAsia="Calibri" w:hAnsi="Calibri" w:cs="Times New Roman"/>
      <w:lang w:val="en-IE" w:eastAsia="en-IE"/>
    </w:rPr>
  </w:style>
  <w:style w:type="paragraph" w:customStyle="1" w:styleId="TijeloA">
    <w:name w:val="Tijelo A"/>
    <w:rsid w:val="00B3386E"/>
    <w:pPr>
      <w:pBdr>
        <w:top w:val="nil"/>
        <w:left w:val="nil"/>
        <w:bottom w:val="nil"/>
        <w:right w:val="nil"/>
        <w:between w:val="nil"/>
        <w:bar w:val="nil"/>
      </w:pBdr>
    </w:pPr>
    <w:rPr>
      <w:rFonts w:ascii="Calibri" w:eastAsia="Calibri" w:hAnsi="Calibri" w:cs="Calibri"/>
      <w:color w:val="000000"/>
      <w:u w:color="000000"/>
      <w:bdr w:val="nil"/>
      <w:lang w:eastAsia="hr-HR"/>
    </w:rPr>
  </w:style>
  <w:style w:type="paragraph" w:styleId="NormalWeb">
    <w:name w:val="Normal (Web)"/>
    <w:basedOn w:val="Normal"/>
    <w:uiPriority w:val="99"/>
    <w:semiHidden/>
    <w:unhideWhenUsed/>
    <w:rsid w:val="009E50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89914">
      <w:bodyDiv w:val="1"/>
      <w:marLeft w:val="0"/>
      <w:marRight w:val="0"/>
      <w:marTop w:val="0"/>
      <w:marBottom w:val="0"/>
      <w:divBdr>
        <w:top w:val="none" w:sz="0" w:space="0" w:color="auto"/>
        <w:left w:val="none" w:sz="0" w:space="0" w:color="auto"/>
        <w:bottom w:val="none" w:sz="0" w:space="0" w:color="auto"/>
        <w:right w:val="none" w:sz="0" w:space="0" w:color="auto"/>
      </w:divBdr>
    </w:div>
    <w:div w:id="687678390">
      <w:bodyDiv w:val="1"/>
      <w:marLeft w:val="0"/>
      <w:marRight w:val="0"/>
      <w:marTop w:val="0"/>
      <w:marBottom w:val="0"/>
      <w:divBdr>
        <w:top w:val="none" w:sz="0" w:space="0" w:color="auto"/>
        <w:left w:val="none" w:sz="0" w:space="0" w:color="auto"/>
        <w:bottom w:val="none" w:sz="0" w:space="0" w:color="auto"/>
        <w:right w:val="none" w:sz="0" w:space="0" w:color="auto"/>
      </w:divBdr>
    </w:div>
    <w:div w:id="815536945">
      <w:bodyDiv w:val="1"/>
      <w:marLeft w:val="0"/>
      <w:marRight w:val="0"/>
      <w:marTop w:val="0"/>
      <w:marBottom w:val="0"/>
      <w:divBdr>
        <w:top w:val="none" w:sz="0" w:space="0" w:color="auto"/>
        <w:left w:val="none" w:sz="0" w:space="0" w:color="auto"/>
        <w:bottom w:val="none" w:sz="0" w:space="0" w:color="auto"/>
        <w:right w:val="none" w:sz="0" w:space="0" w:color="auto"/>
      </w:divBdr>
    </w:div>
    <w:div w:id="1152788967">
      <w:bodyDiv w:val="1"/>
      <w:marLeft w:val="0"/>
      <w:marRight w:val="0"/>
      <w:marTop w:val="0"/>
      <w:marBottom w:val="0"/>
      <w:divBdr>
        <w:top w:val="none" w:sz="0" w:space="0" w:color="auto"/>
        <w:left w:val="none" w:sz="0" w:space="0" w:color="auto"/>
        <w:bottom w:val="none" w:sz="0" w:space="0" w:color="auto"/>
        <w:right w:val="none" w:sz="0" w:space="0" w:color="auto"/>
      </w:divBdr>
    </w:div>
    <w:div w:id="1831100016">
      <w:bodyDiv w:val="1"/>
      <w:marLeft w:val="0"/>
      <w:marRight w:val="0"/>
      <w:marTop w:val="0"/>
      <w:marBottom w:val="0"/>
      <w:divBdr>
        <w:top w:val="none" w:sz="0" w:space="0" w:color="auto"/>
        <w:left w:val="none" w:sz="0" w:space="0" w:color="auto"/>
        <w:bottom w:val="none" w:sz="0" w:space="0" w:color="auto"/>
        <w:right w:val="none" w:sz="0" w:space="0" w:color="auto"/>
      </w:divBdr>
    </w:div>
    <w:div w:id="202081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65DF9-9CB4-4FFA-97C4-D27D7C53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3</Pages>
  <Words>544</Words>
  <Characters>3106</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User</cp:lastModifiedBy>
  <cp:revision>13</cp:revision>
  <cp:lastPrinted>2016-09-05T17:35:00Z</cp:lastPrinted>
  <dcterms:created xsi:type="dcterms:W3CDTF">2018-11-07T07:39:00Z</dcterms:created>
  <dcterms:modified xsi:type="dcterms:W3CDTF">2019-01-30T12:22:00Z</dcterms:modified>
</cp:coreProperties>
</file>